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A68" w:rsidRPr="00B4435B" w:rsidRDefault="00B4435B" w:rsidP="00B4435B">
      <w:pPr>
        <w:pStyle w:val="StandardWeb"/>
        <w:jc w:val="center"/>
      </w:pPr>
      <w:r>
        <w:rPr>
          <w:noProof/>
        </w:rPr>
        <w:drawing>
          <wp:inline distT="0" distB="0" distL="0" distR="0">
            <wp:extent cx="1980000" cy="824400"/>
            <wp:effectExtent l="0" t="0" r="1270" b="0"/>
            <wp:docPr id="2" name="Grafik 2" descr="L:\Alexianer\Logo Alexinaer_SGK\StGertrauden_Zweitlogo_10-24_offic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lexianer\Logo Alexinaer_SGK\StGertrauden_Zweitlogo_10-24_offic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0000" cy="824400"/>
                    </a:xfrm>
                    <a:prstGeom prst="rect">
                      <a:avLst/>
                    </a:prstGeom>
                    <a:noFill/>
                    <a:ln>
                      <a:noFill/>
                    </a:ln>
                  </pic:spPr>
                </pic:pic>
              </a:graphicData>
            </a:graphic>
          </wp:inline>
        </w:drawing>
      </w:r>
    </w:p>
    <w:tbl>
      <w:tblPr>
        <w:tblW w:w="0" w:type="auto"/>
        <w:tblInd w:w="108" w:type="dxa"/>
        <w:shd w:val="pct10" w:color="auto" w:fill="auto"/>
        <w:tblLook w:val="01E0" w:firstRow="1" w:lastRow="1" w:firstColumn="1" w:lastColumn="1" w:noHBand="0" w:noVBand="0"/>
      </w:tblPr>
      <w:tblGrid>
        <w:gridCol w:w="9102"/>
      </w:tblGrid>
      <w:tr w:rsidR="006D3A68" w:rsidRPr="00C03B64" w:rsidTr="00C03B64">
        <w:tc>
          <w:tcPr>
            <w:tcW w:w="9102" w:type="dxa"/>
            <w:shd w:val="pct10" w:color="auto" w:fill="auto"/>
          </w:tcPr>
          <w:p w:rsidR="006D3A68" w:rsidRPr="00C03B64" w:rsidRDefault="006D3A68" w:rsidP="00C03B64">
            <w:pPr>
              <w:jc w:val="center"/>
              <w:rPr>
                <w:rFonts w:ascii="Arial" w:hAnsi="Arial" w:cs="Arial"/>
                <w:b/>
                <w:bCs/>
              </w:rPr>
            </w:pPr>
            <w:r w:rsidRPr="00C03B64">
              <w:rPr>
                <w:rFonts w:ascii="Arial" w:hAnsi="Arial" w:cs="Arial"/>
                <w:b/>
                <w:bCs/>
              </w:rPr>
              <w:t>Wichtige Patienteninformation für wahlärztliche Leistungen</w:t>
            </w:r>
          </w:p>
        </w:tc>
      </w:tr>
    </w:tbl>
    <w:p w:rsidR="006D3A68" w:rsidRPr="004E64F4" w:rsidRDefault="006D3A68" w:rsidP="007C1925">
      <w:pPr>
        <w:rPr>
          <w:sz w:val="20"/>
          <w:szCs w:val="20"/>
        </w:rPr>
      </w:pPr>
    </w:p>
    <w:p w:rsidR="006D3A68" w:rsidRPr="004E64F4" w:rsidRDefault="006D3A68" w:rsidP="000A5502">
      <w:pPr>
        <w:jc w:val="both"/>
        <w:outlineLvl w:val="0"/>
        <w:rPr>
          <w:sz w:val="20"/>
          <w:szCs w:val="20"/>
        </w:rPr>
      </w:pPr>
      <w:r w:rsidRPr="004E64F4">
        <w:rPr>
          <w:sz w:val="20"/>
          <w:szCs w:val="20"/>
        </w:rPr>
        <w:t>Sehr geehrte Patientin, sehr geehrter Patient,</w:t>
      </w:r>
    </w:p>
    <w:p w:rsidR="006D3A68" w:rsidRPr="004E64F4" w:rsidRDefault="006D3A68" w:rsidP="007C1925">
      <w:pPr>
        <w:jc w:val="both"/>
        <w:rPr>
          <w:sz w:val="20"/>
          <w:szCs w:val="20"/>
        </w:rPr>
      </w:pPr>
    </w:p>
    <w:p w:rsidR="006D3A68" w:rsidRPr="004E64F4" w:rsidRDefault="006D3A68" w:rsidP="007C1925">
      <w:pPr>
        <w:jc w:val="both"/>
        <w:rPr>
          <w:sz w:val="20"/>
          <w:szCs w:val="20"/>
        </w:rPr>
      </w:pPr>
      <w:r w:rsidRPr="004E64F4">
        <w:rPr>
          <w:sz w:val="20"/>
          <w:szCs w:val="20"/>
        </w:rPr>
        <w:t>Sie sind im Begriff, eine sogenannte Wahlleistungsvereinbarung über die gesonderte Berechnung ärztlicher Leistungen zu unterzeichnen. Hierfür schreiben § 22 Abs. 1 der Bundespflegesatzverordnung (BPflV) bzw. § 17 Abs. 2 des Krankenhausentgeltgesetzes (</w:t>
      </w:r>
      <w:proofErr w:type="spellStart"/>
      <w:r w:rsidRPr="004E64F4">
        <w:rPr>
          <w:sz w:val="20"/>
          <w:szCs w:val="20"/>
        </w:rPr>
        <w:t>KHEntgG</w:t>
      </w:r>
      <w:proofErr w:type="spellEnd"/>
      <w:r w:rsidRPr="004E64F4">
        <w:rPr>
          <w:sz w:val="20"/>
          <w:szCs w:val="20"/>
        </w:rPr>
        <w:t xml:space="preserve">) vor, dass jeder Patient </w:t>
      </w:r>
      <w:r w:rsidRPr="004E64F4">
        <w:rPr>
          <w:b/>
          <w:bCs/>
          <w:sz w:val="20"/>
          <w:szCs w:val="20"/>
        </w:rPr>
        <w:t xml:space="preserve">vor </w:t>
      </w:r>
      <w:r w:rsidRPr="004E64F4">
        <w:rPr>
          <w:sz w:val="20"/>
          <w:szCs w:val="20"/>
        </w:rPr>
        <w:t>Abschluss der Vereinbarung über die Entgelte der Wahlleistungen und deren Inhalt im Einzelnen schriftlich zu unterrichten ist. Dieser Verpflichtung möchten wir hiermit nachkommen:</w:t>
      </w:r>
    </w:p>
    <w:p w:rsidR="006D3A68" w:rsidRPr="004E64F4" w:rsidRDefault="006D3A68" w:rsidP="007C1925">
      <w:pPr>
        <w:jc w:val="both"/>
        <w:rPr>
          <w:sz w:val="20"/>
          <w:szCs w:val="20"/>
        </w:rPr>
      </w:pPr>
    </w:p>
    <w:p w:rsidR="006D3A68" w:rsidRPr="004E64F4" w:rsidRDefault="006D3A68" w:rsidP="00C51A38">
      <w:pPr>
        <w:numPr>
          <w:ilvl w:val="0"/>
          <w:numId w:val="1"/>
        </w:numPr>
        <w:tabs>
          <w:tab w:val="clear" w:pos="720"/>
        </w:tabs>
        <w:ind w:left="322" w:hanging="322"/>
        <w:jc w:val="both"/>
        <w:rPr>
          <w:sz w:val="20"/>
          <w:szCs w:val="20"/>
        </w:rPr>
      </w:pPr>
      <w:r w:rsidRPr="004E64F4">
        <w:rPr>
          <w:sz w:val="20"/>
          <w:szCs w:val="20"/>
        </w:rPr>
        <w:t xml:space="preserve">Die BPflV bzw. das </w:t>
      </w:r>
      <w:proofErr w:type="spellStart"/>
      <w:r w:rsidRPr="004E64F4">
        <w:rPr>
          <w:sz w:val="20"/>
          <w:szCs w:val="20"/>
        </w:rPr>
        <w:t>KHEntgG</w:t>
      </w:r>
      <w:proofErr w:type="spellEnd"/>
      <w:r w:rsidRPr="004E64F4">
        <w:rPr>
          <w:sz w:val="20"/>
          <w:szCs w:val="20"/>
        </w:rPr>
        <w:t xml:space="preserve"> unterscheiden zwischen allgemeinen Krankenhausleistungen und Wahlleistungen</w:t>
      </w:r>
      <w:r>
        <w:rPr>
          <w:sz w:val="20"/>
          <w:szCs w:val="20"/>
        </w:rPr>
        <w:br/>
      </w:r>
      <w:r w:rsidRPr="001D38D1">
        <w:rPr>
          <w:sz w:val="12"/>
          <w:szCs w:val="12"/>
        </w:rPr>
        <w:br/>
      </w:r>
      <w:r w:rsidRPr="004E64F4">
        <w:rPr>
          <w:b/>
          <w:bCs/>
          <w:sz w:val="20"/>
          <w:szCs w:val="20"/>
        </w:rPr>
        <w:t xml:space="preserve">Allgemeine Krankenhausleistungen </w:t>
      </w:r>
      <w:r w:rsidRPr="004E64F4">
        <w:rPr>
          <w:sz w:val="20"/>
          <w:szCs w:val="20"/>
        </w:rPr>
        <w:t xml:space="preserve">sind die Krankenhausleistungen, die unter Berücksichtigung der Leistungsfähigkeit des Krankenhauses im Einzelfall nach Art und Schwere der Krankheit für die medizinisch zweckmäßige und ausreichende Versorgung des Patienten notwendig sind. Sofern Sie gesetzlich krankenversichert sind, entstehen Ihnen für die Inanspruchnahme der </w:t>
      </w:r>
      <w:r w:rsidRPr="004E64F4">
        <w:rPr>
          <w:b/>
          <w:bCs/>
          <w:sz w:val="20"/>
          <w:szCs w:val="20"/>
        </w:rPr>
        <w:t xml:space="preserve">allgemeinen Krankenhausleistungen </w:t>
      </w:r>
      <w:r w:rsidRPr="004E64F4">
        <w:rPr>
          <w:sz w:val="20"/>
          <w:szCs w:val="20"/>
        </w:rPr>
        <w:t>außer den gesetzlichen Zuzahlungen keine gesonderten Kosten.</w:t>
      </w:r>
    </w:p>
    <w:p w:rsidR="006D3A68" w:rsidRPr="004E64F4" w:rsidRDefault="006D3A68" w:rsidP="00C51A38">
      <w:pPr>
        <w:spacing w:before="180" w:after="120"/>
        <w:ind w:left="322"/>
        <w:jc w:val="both"/>
        <w:rPr>
          <w:sz w:val="20"/>
          <w:szCs w:val="20"/>
        </w:rPr>
      </w:pPr>
      <w:r w:rsidRPr="004E64F4">
        <w:rPr>
          <w:b/>
          <w:bCs/>
          <w:sz w:val="20"/>
          <w:szCs w:val="20"/>
        </w:rPr>
        <w:t xml:space="preserve">Wahlleistungen </w:t>
      </w:r>
      <w:r w:rsidRPr="004E64F4">
        <w:rPr>
          <w:sz w:val="20"/>
          <w:szCs w:val="20"/>
        </w:rPr>
        <w:t xml:space="preserve">hingegen sind über die allgemeinen Krankenhausleistungen hinausgehende Sonderleistungen. Diese sind gesondert zu vereinbaren und </w:t>
      </w:r>
      <w:r w:rsidRPr="004E64F4">
        <w:rPr>
          <w:b/>
          <w:bCs/>
          <w:sz w:val="20"/>
          <w:szCs w:val="20"/>
        </w:rPr>
        <w:t>vom Patienten zu bezahlen.</w:t>
      </w:r>
    </w:p>
    <w:p w:rsidR="006D3A68" w:rsidRPr="004E64F4" w:rsidRDefault="006D3A68" w:rsidP="00C51A38">
      <w:pPr>
        <w:numPr>
          <w:ilvl w:val="0"/>
          <w:numId w:val="1"/>
        </w:numPr>
        <w:tabs>
          <w:tab w:val="clear" w:pos="720"/>
        </w:tabs>
        <w:spacing w:before="120"/>
        <w:ind w:left="322" w:hanging="322"/>
        <w:jc w:val="both"/>
        <w:rPr>
          <w:sz w:val="20"/>
          <w:szCs w:val="20"/>
        </w:rPr>
      </w:pPr>
      <w:r w:rsidRPr="004E64F4">
        <w:rPr>
          <w:sz w:val="20"/>
          <w:szCs w:val="20"/>
        </w:rPr>
        <w:t xml:space="preserve">Für sogenannte </w:t>
      </w:r>
      <w:r w:rsidRPr="004E64F4">
        <w:rPr>
          <w:b/>
          <w:bCs/>
          <w:sz w:val="20"/>
          <w:szCs w:val="20"/>
        </w:rPr>
        <w:t xml:space="preserve">wahlärztliche Leistungen </w:t>
      </w:r>
      <w:r w:rsidRPr="004E64F4">
        <w:rPr>
          <w:sz w:val="20"/>
          <w:szCs w:val="20"/>
        </w:rPr>
        <w:t>bedeutet dies, dass Sie sich damit die persönliche Zuwendung und besondere fachliche Qualifikation und Erfahrung der liquidationsberechtigten Ärzte des Krankenhauses einschließlich der von diesen Ärzten veranlassten Leistungen von Ärzten und ärztlich geleiteten Einrichtungen außerhalb des Krankenhauses hinzukaufen.</w:t>
      </w:r>
    </w:p>
    <w:p w:rsidR="00FE4BC3" w:rsidRPr="004E64F4" w:rsidRDefault="006D3A68" w:rsidP="00C51A38">
      <w:pPr>
        <w:spacing w:before="120"/>
        <w:ind w:left="322"/>
        <w:jc w:val="both"/>
        <w:rPr>
          <w:b/>
          <w:bCs/>
          <w:sz w:val="20"/>
          <w:szCs w:val="20"/>
        </w:rPr>
      </w:pPr>
      <w:r w:rsidRPr="004E64F4">
        <w:rPr>
          <w:b/>
          <w:bCs/>
          <w:sz w:val="20"/>
          <w:szCs w:val="20"/>
        </w:rPr>
        <w:t xml:space="preserve">Für den Fall der unvorhergesehenen Verhinderung des Wahlarztes der jeweiligen Fachabteilung werden </w:t>
      </w:r>
      <w:r>
        <w:rPr>
          <w:b/>
          <w:bCs/>
          <w:sz w:val="20"/>
          <w:szCs w:val="20"/>
        </w:rPr>
        <w:t xml:space="preserve">dessen </w:t>
      </w:r>
      <w:r w:rsidRPr="004E64F4">
        <w:rPr>
          <w:b/>
          <w:bCs/>
          <w:sz w:val="20"/>
          <w:szCs w:val="20"/>
        </w:rPr>
        <w:t xml:space="preserve">Aufgaben durch </w:t>
      </w:r>
      <w:r>
        <w:rPr>
          <w:b/>
          <w:bCs/>
          <w:sz w:val="20"/>
          <w:szCs w:val="20"/>
        </w:rPr>
        <w:t>den</w:t>
      </w:r>
      <w:r w:rsidRPr="004E64F4">
        <w:rPr>
          <w:b/>
          <w:bCs/>
          <w:sz w:val="20"/>
          <w:szCs w:val="20"/>
        </w:rPr>
        <w:t xml:space="preserve"> nachfolgend benannten ständigen ärztlichen Vertreter übernommen:</w:t>
      </w:r>
      <w:r w:rsidRPr="004E64F4">
        <w:rPr>
          <w:b/>
          <w:bCs/>
          <w:sz w:val="20"/>
          <w:szCs w:val="20"/>
        </w:rPr>
        <w:br/>
      </w:r>
    </w:p>
    <w:tbl>
      <w:tblPr>
        <w:tblW w:w="4710" w:type="pct"/>
        <w:tblInd w:w="4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2514"/>
        <w:gridCol w:w="2987"/>
        <w:gridCol w:w="4000"/>
      </w:tblGrid>
      <w:tr w:rsidR="00FE4BC3" w:rsidRPr="001A61B7" w:rsidTr="000517E4">
        <w:tc>
          <w:tcPr>
            <w:tcW w:w="1323" w:type="pct"/>
            <w:shd w:val="clear" w:color="auto" w:fill="E6E6E6"/>
          </w:tcPr>
          <w:p w:rsidR="00FE4BC3" w:rsidRPr="00FE4BC3" w:rsidRDefault="00FE4BC3" w:rsidP="00630879">
            <w:pPr>
              <w:jc w:val="both"/>
              <w:rPr>
                <w:rFonts w:ascii="Calibri" w:hAnsi="Calibri"/>
                <w:b/>
                <w:sz w:val="22"/>
                <w:szCs w:val="22"/>
              </w:rPr>
            </w:pPr>
            <w:r w:rsidRPr="00FE4BC3">
              <w:rPr>
                <w:rFonts w:ascii="Calibri" w:hAnsi="Calibri"/>
                <w:b/>
                <w:sz w:val="22"/>
                <w:szCs w:val="22"/>
              </w:rPr>
              <w:t>Fachabteilung</w:t>
            </w:r>
          </w:p>
        </w:tc>
        <w:tc>
          <w:tcPr>
            <w:tcW w:w="1572" w:type="pct"/>
            <w:shd w:val="clear" w:color="auto" w:fill="E6E6E6"/>
          </w:tcPr>
          <w:p w:rsidR="00FE4BC3" w:rsidRPr="00FE4BC3" w:rsidRDefault="00FE4BC3" w:rsidP="00630879">
            <w:pPr>
              <w:jc w:val="both"/>
              <w:rPr>
                <w:rFonts w:ascii="Calibri" w:hAnsi="Calibri"/>
                <w:b/>
                <w:sz w:val="22"/>
                <w:szCs w:val="22"/>
              </w:rPr>
            </w:pPr>
            <w:r w:rsidRPr="00FE4BC3">
              <w:rPr>
                <w:rFonts w:ascii="Calibri" w:hAnsi="Calibri"/>
                <w:b/>
                <w:sz w:val="22"/>
                <w:szCs w:val="22"/>
              </w:rPr>
              <w:t>Wahlarzt</w:t>
            </w:r>
          </w:p>
        </w:tc>
        <w:tc>
          <w:tcPr>
            <w:tcW w:w="2105" w:type="pct"/>
            <w:shd w:val="clear" w:color="auto" w:fill="E6E6E6"/>
          </w:tcPr>
          <w:p w:rsidR="00FE4BC3" w:rsidRPr="00FE4BC3" w:rsidRDefault="00FE4BC3" w:rsidP="00630879">
            <w:pPr>
              <w:rPr>
                <w:rFonts w:ascii="Calibri" w:hAnsi="Calibri"/>
                <w:b/>
                <w:sz w:val="22"/>
                <w:szCs w:val="22"/>
              </w:rPr>
            </w:pPr>
            <w:r w:rsidRPr="00FE4BC3">
              <w:rPr>
                <w:rFonts w:ascii="Calibri" w:hAnsi="Calibri"/>
                <w:b/>
                <w:sz w:val="22"/>
                <w:szCs w:val="22"/>
              </w:rPr>
              <w:t>Ständiger ärztlicher Vertreter</w:t>
            </w:r>
          </w:p>
        </w:tc>
      </w:tr>
      <w:tr w:rsidR="00FE4BC3" w:rsidRPr="001A61B7" w:rsidTr="000517E4">
        <w:trPr>
          <w:trHeight w:val="567"/>
        </w:trPr>
        <w:tc>
          <w:tcPr>
            <w:tcW w:w="1323" w:type="pct"/>
            <w:vAlign w:val="center"/>
          </w:tcPr>
          <w:p w:rsidR="00FE4BC3" w:rsidRPr="00932F81" w:rsidRDefault="00FE4BC3" w:rsidP="00630879">
            <w:pPr>
              <w:rPr>
                <w:sz w:val="20"/>
                <w:szCs w:val="20"/>
              </w:rPr>
            </w:pPr>
            <w:r w:rsidRPr="00932F81">
              <w:rPr>
                <w:sz w:val="20"/>
                <w:szCs w:val="20"/>
              </w:rPr>
              <w:t>Angiologie</w:t>
            </w:r>
          </w:p>
        </w:tc>
        <w:tc>
          <w:tcPr>
            <w:tcW w:w="1572" w:type="pct"/>
            <w:vAlign w:val="center"/>
          </w:tcPr>
          <w:p w:rsidR="00FE4BC3" w:rsidRPr="00932F81" w:rsidRDefault="00FE4BC3" w:rsidP="00630879">
            <w:pPr>
              <w:rPr>
                <w:sz w:val="20"/>
                <w:szCs w:val="20"/>
              </w:rPr>
            </w:pPr>
            <w:r w:rsidRPr="00932F81">
              <w:rPr>
                <w:sz w:val="20"/>
                <w:szCs w:val="20"/>
              </w:rPr>
              <w:t>Dr. med. R. Langhoff</w:t>
            </w:r>
          </w:p>
        </w:tc>
        <w:tc>
          <w:tcPr>
            <w:tcW w:w="2105" w:type="pct"/>
            <w:vAlign w:val="center"/>
          </w:tcPr>
          <w:p w:rsidR="00FE4BC3" w:rsidRPr="00932F81" w:rsidRDefault="00FE4BC3" w:rsidP="00630879">
            <w:pPr>
              <w:rPr>
                <w:sz w:val="20"/>
                <w:szCs w:val="20"/>
              </w:rPr>
            </w:pPr>
            <w:r w:rsidRPr="00932F81">
              <w:rPr>
                <w:sz w:val="20"/>
                <w:szCs w:val="20"/>
              </w:rPr>
              <w:t>Dr. med. A. Behne</w:t>
            </w:r>
          </w:p>
        </w:tc>
      </w:tr>
      <w:tr w:rsidR="00FE4BC3" w:rsidRPr="001A61B7" w:rsidTr="000517E4">
        <w:trPr>
          <w:trHeight w:val="567"/>
        </w:trPr>
        <w:tc>
          <w:tcPr>
            <w:tcW w:w="1323" w:type="pct"/>
            <w:vAlign w:val="center"/>
          </w:tcPr>
          <w:p w:rsidR="00FE4BC3" w:rsidRPr="00932F81" w:rsidRDefault="00FE4BC3" w:rsidP="00630879">
            <w:pPr>
              <w:rPr>
                <w:sz w:val="20"/>
                <w:szCs w:val="20"/>
              </w:rPr>
            </w:pPr>
            <w:r w:rsidRPr="00932F81">
              <w:rPr>
                <w:sz w:val="20"/>
                <w:szCs w:val="20"/>
              </w:rPr>
              <w:t>Allgemein- und Viszeralchirurgie</w:t>
            </w:r>
          </w:p>
        </w:tc>
        <w:tc>
          <w:tcPr>
            <w:tcW w:w="1572" w:type="pct"/>
            <w:vAlign w:val="center"/>
          </w:tcPr>
          <w:p w:rsidR="00FE4BC3" w:rsidRPr="00932F81" w:rsidRDefault="00FE4BC3" w:rsidP="00630879">
            <w:pPr>
              <w:rPr>
                <w:sz w:val="20"/>
                <w:szCs w:val="20"/>
              </w:rPr>
            </w:pPr>
            <w:r w:rsidRPr="00932F81">
              <w:rPr>
                <w:sz w:val="20"/>
                <w:szCs w:val="20"/>
              </w:rPr>
              <w:t xml:space="preserve">Dr. med. </w:t>
            </w:r>
            <w:r w:rsidR="00E871AA">
              <w:rPr>
                <w:sz w:val="20"/>
                <w:szCs w:val="20"/>
              </w:rPr>
              <w:t>J. Raakow</w:t>
            </w:r>
          </w:p>
        </w:tc>
        <w:tc>
          <w:tcPr>
            <w:tcW w:w="2105" w:type="pct"/>
            <w:vAlign w:val="center"/>
          </w:tcPr>
          <w:p w:rsidR="00FE4BC3" w:rsidRPr="00932F81" w:rsidRDefault="00FE4BC3" w:rsidP="00630879">
            <w:pPr>
              <w:rPr>
                <w:sz w:val="20"/>
                <w:szCs w:val="20"/>
              </w:rPr>
            </w:pPr>
            <w:r w:rsidRPr="00932F81">
              <w:rPr>
                <w:sz w:val="20"/>
                <w:szCs w:val="20"/>
              </w:rPr>
              <w:t>Dr. med. A. Halm</w:t>
            </w:r>
          </w:p>
        </w:tc>
      </w:tr>
      <w:tr w:rsidR="00FE4BC3" w:rsidRPr="001A61B7" w:rsidTr="000517E4">
        <w:trPr>
          <w:trHeight w:val="567"/>
        </w:trPr>
        <w:tc>
          <w:tcPr>
            <w:tcW w:w="1323" w:type="pct"/>
            <w:vAlign w:val="center"/>
          </w:tcPr>
          <w:p w:rsidR="00FE4BC3" w:rsidRPr="00932F81" w:rsidRDefault="00FE4BC3" w:rsidP="00630879">
            <w:pPr>
              <w:rPr>
                <w:sz w:val="20"/>
                <w:szCs w:val="20"/>
              </w:rPr>
            </w:pPr>
            <w:r w:rsidRPr="00932F81">
              <w:rPr>
                <w:sz w:val="20"/>
                <w:szCs w:val="20"/>
              </w:rPr>
              <w:t>Unfallchirurgie und Orthopädie</w:t>
            </w:r>
          </w:p>
        </w:tc>
        <w:tc>
          <w:tcPr>
            <w:tcW w:w="1572" w:type="pct"/>
            <w:vAlign w:val="center"/>
          </w:tcPr>
          <w:p w:rsidR="00FE4BC3" w:rsidRPr="00932F81" w:rsidRDefault="002C046C" w:rsidP="00630879">
            <w:pPr>
              <w:rPr>
                <w:sz w:val="20"/>
                <w:szCs w:val="20"/>
              </w:rPr>
            </w:pPr>
            <w:r>
              <w:rPr>
                <w:sz w:val="20"/>
                <w:szCs w:val="20"/>
              </w:rPr>
              <w:t>Dr. med. D. Engelmann</w:t>
            </w:r>
          </w:p>
          <w:p w:rsidR="00C50113" w:rsidRPr="00932F81" w:rsidRDefault="00C50113" w:rsidP="00630879">
            <w:pPr>
              <w:rPr>
                <w:sz w:val="20"/>
                <w:szCs w:val="20"/>
              </w:rPr>
            </w:pPr>
            <w:r>
              <w:rPr>
                <w:sz w:val="20"/>
                <w:szCs w:val="20"/>
              </w:rPr>
              <w:t>Dr. med. P. Taheri</w:t>
            </w:r>
          </w:p>
        </w:tc>
        <w:tc>
          <w:tcPr>
            <w:tcW w:w="2105" w:type="pct"/>
            <w:vAlign w:val="center"/>
          </w:tcPr>
          <w:p w:rsidR="00E248B6" w:rsidRDefault="00E248B6" w:rsidP="00A62084">
            <w:pPr>
              <w:rPr>
                <w:sz w:val="20"/>
                <w:szCs w:val="20"/>
              </w:rPr>
            </w:pPr>
            <w:r>
              <w:rPr>
                <w:sz w:val="20"/>
                <w:szCs w:val="20"/>
              </w:rPr>
              <w:t>Traumatologie</w:t>
            </w:r>
          </w:p>
          <w:p w:rsidR="00FE4BC3" w:rsidRDefault="00E248B6" w:rsidP="00A62084">
            <w:pPr>
              <w:rPr>
                <w:sz w:val="20"/>
                <w:szCs w:val="20"/>
              </w:rPr>
            </w:pPr>
            <w:r>
              <w:rPr>
                <w:sz w:val="20"/>
                <w:szCs w:val="20"/>
              </w:rPr>
              <w:t>N. Tananow</w:t>
            </w:r>
          </w:p>
          <w:p w:rsidR="00E248B6" w:rsidRDefault="00E248B6" w:rsidP="00A62084">
            <w:pPr>
              <w:rPr>
                <w:sz w:val="20"/>
                <w:szCs w:val="20"/>
              </w:rPr>
            </w:pPr>
            <w:r>
              <w:rPr>
                <w:sz w:val="20"/>
                <w:szCs w:val="20"/>
              </w:rPr>
              <w:t>Endoprothetik</w:t>
            </w:r>
          </w:p>
          <w:p w:rsidR="00E248B6" w:rsidRPr="00932F81" w:rsidRDefault="00E248B6" w:rsidP="00E248B6">
            <w:pPr>
              <w:rPr>
                <w:sz w:val="20"/>
                <w:szCs w:val="20"/>
              </w:rPr>
            </w:pPr>
            <w:r>
              <w:rPr>
                <w:sz w:val="20"/>
                <w:szCs w:val="20"/>
              </w:rPr>
              <w:t>R. Stapf</w:t>
            </w:r>
          </w:p>
        </w:tc>
      </w:tr>
      <w:tr w:rsidR="00FE4BC3" w:rsidRPr="001A61B7" w:rsidTr="000517E4">
        <w:trPr>
          <w:trHeight w:val="567"/>
        </w:trPr>
        <w:tc>
          <w:tcPr>
            <w:tcW w:w="1323" w:type="pct"/>
            <w:vAlign w:val="center"/>
          </w:tcPr>
          <w:p w:rsidR="00FE4BC3" w:rsidRPr="00932F81" w:rsidRDefault="00FE4BC3" w:rsidP="00630879">
            <w:pPr>
              <w:rPr>
                <w:sz w:val="20"/>
                <w:szCs w:val="20"/>
              </w:rPr>
            </w:pPr>
            <w:r w:rsidRPr="00932F81">
              <w:rPr>
                <w:sz w:val="20"/>
                <w:szCs w:val="20"/>
              </w:rPr>
              <w:t>Gefäßchirurgie</w:t>
            </w:r>
          </w:p>
        </w:tc>
        <w:tc>
          <w:tcPr>
            <w:tcW w:w="1572" w:type="pct"/>
            <w:shd w:val="clear" w:color="auto" w:fill="auto"/>
            <w:vAlign w:val="center"/>
          </w:tcPr>
          <w:p w:rsidR="00FE4BC3" w:rsidRPr="00AD024B" w:rsidRDefault="00515A7A" w:rsidP="00515A7A">
            <w:pPr>
              <w:rPr>
                <w:sz w:val="20"/>
                <w:szCs w:val="20"/>
                <w:lang w:val="en-US"/>
              </w:rPr>
            </w:pPr>
            <w:r w:rsidRPr="00AD024B">
              <w:rPr>
                <w:sz w:val="20"/>
                <w:lang w:val="en-US"/>
              </w:rPr>
              <w:t>Dr. med. I. T. Passaloglou</w:t>
            </w:r>
          </w:p>
        </w:tc>
        <w:tc>
          <w:tcPr>
            <w:tcW w:w="2105" w:type="pct"/>
            <w:shd w:val="clear" w:color="auto" w:fill="auto"/>
            <w:vAlign w:val="center"/>
          </w:tcPr>
          <w:p w:rsidR="00FE4BC3" w:rsidRPr="00400E7A" w:rsidRDefault="002A2DED" w:rsidP="00400E7A">
            <w:pPr>
              <w:rPr>
                <w:sz w:val="20"/>
                <w:szCs w:val="20"/>
              </w:rPr>
            </w:pPr>
            <w:r>
              <w:rPr>
                <w:sz w:val="20"/>
                <w:szCs w:val="20"/>
              </w:rPr>
              <w:t>Dr. T. Ayvazyan</w:t>
            </w:r>
          </w:p>
        </w:tc>
      </w:tr>
      <w:tr w:rsidR="00FE4BC3" w:rsidRPr="001A61B7" w:rsidTr="000517E4">
        <w:trPr>
          <w:trHeight w:val="567"/>
        </w:trPr>
        <w:tc>
          <w:tcPr>
            <w:tcW w:w="1323" w:type="pct"/>
            <w:vAlign w:val="center"/>
          </w:tcPr>
          <w:p w:rsidR="00FE4BC3" w:rsidRDefault="00FE4BC3" w:rsidP="00630879">
            <w:pPr>
              <w:rPr>
                <w:sz w:val="20"/>
                <w:szCs w:val="20"/>
              </w:rPr>
            </w:pPr>
            <w:r w:rsidRPr="00932F81">
              <w:rPr>
                <w:sz w:val="20"/>
                <w:szCs w:val="20"/>
              </w:rPr>
              <w:t>Frauenheilkunde</w:t>
            </w:r>
          </w:p>
          <w:p w:rsidR="00184F8D" w:rsidRDefault="00184F8D" w:rsidP="00630879">
            <w:pPr>
              <w:rPr>
                <w:sz w:val="20"/>
                <w:szCs w:val="20"/>
              </w:rPr>
            </w:pPr>
          </w:p>
          <w:p w:rsidR="00956740" w:rsidRPr="00932F81" w:rsidRDefault="00956740" w:rsidP="00630879">
            <w:pPr>
              <w:rPr>
                <w:sz w:val="20"/>
                <w:szCs w:val="20"/>
              </w:rPr>
            </w:pPr>
            <w:r w:rsidRPr="00932F81">
              <w:rPr>
                <w:sz w:val="20"/>
                <w:szCs w:val="20"/>
              </w:rPr>
              <w:t>Brustzentrum</w:t>
            </w:r>
          </w:p>
        </w:tc>
        <w:tc>
          <w:tcPr>
            <w:tcW w:w="1572" w:type="pct"/>
            <w:vAlign w:val="center"/>
          </w:tcPr>
          <w:p w:rsidR="00DE7C69" w:rsidRDefault="00DE7C69" w:rsidP="00DE7C69">
            <w:pPr>
              <w:rPr>
                <w:sz w:val="20"/>
                <w:szCs w:val="20"/>
              </w:rPr>
            </w:pPr>
            <w:r>
              <w:rPr>
                <w:sz w:val="20"/>
                <w:szCs w:val="20"/>
              </w:rPr>
              <w:t xml:space="preserve">Dr. med. </w:t>
            </w:r>
            <w:r w:rsidR="00184F8D">
              <w:rPr>
                <w:sz w:val="20"/>
                <w:szCs w:val="20"/>
              </w:rPr>
              <w:t>M. Abou-Dakn</w:t>
            </w:r>
          </w:p>
          <w:p w:rsidR="00AD024B" w:rsidRPr="0039172E" w:rsidRDefault="00AD024B" w:rsidP="00427DA5">
            <w:pPr>
              <w:pStyle w:val="Kopfzeile"/>
              <w:tabs>
                <w:tab w:val="clear" w:pos="9072"/>
              </w:tabs>
              <w:rPr>
                <w:sz w:val="20"/>
                <w:szCs w:val="20"/>
                <w:lang w:val="en-US"/>
              </w:rPr>
            </w:pPr>
          </w:p>
          <w:p w:rsidR="00956740" w:rsidRPr="00956740" w:rsidRDefault="00AD024B" w:rsidP="00AD024B">
            <w:pPr>
              <w:pStyle w:val="Kopfzeile"/>
              <w:tabs>
                <w:tab w:val="clear" w:pos="9072"/>
              </w:tabs>
              <w:rPr>
                <w:sz w:val="20"/>
                <w:szCs w:val="20"/>
              </w:rPr>
            </w:pPr>
            <w:r w:rsidRPr="0039172E">
              <w:rPr>
                <w:sz w:val="20"/>
                <w:szCs w:val="20"/>
                <w:lang w:val="en-US"/>
              </w:rPr>
              <w:t xml:space="preserve">Dr. med. </w:t>
            </w:r>
            <w:r>
              <w:rPr>
                <w:sz w:val="20"/>
                <w:szCs w:val="20"/>
              </w:rPr>
              <w:t>Ragna Völker</w:t>
            </w:r>
          </w:p>
        </w:tc>
        <w:tc>
          <w:tcPr>
            <w:tcW w:w="2105" w:type="pct"/>
            <w:vAlign w:val="center"/>
          </w:tcPr>
          <w:p w:rsidR="00427DA5" w:rsidRDefault="00184F8D" w:rsidP="00630879">
            <w:pPr>
              <w:rPr>
                <w:sz w:val="20"/>
                <w:szCs w:val="20"/>
              </w:rPr>
            </w:pPr>
            <w:r>
              <w:rPr>
                <w:sz w:val="20"/>
                <w:szCs w:val="20"/>
              </w:rPr>
              <w:t>Dr. med. F. Müller</w:t>
            </w:r>
          </w:p>
          <w:p w:rsidR="0039172E" w:rsidRDefault="00184F8D" w:rsidP="00630879">
            <w:pPr>
              <w:rPr>
                <w:sz w:val="20"/>
                <w:szCs w:val="20"/>
              </w:rPr>
            </w:pPr>
            <w:r>
              <w:rPr>
                <w:sz w:val="20"/>
                <w:szCs w:val="20"/>
              </w:rPr>
              <w:t>Dr. med. S. Oezer</w:t>
            </w:r>
          </w:p>
          <w:p w:rsidR="0039172E" w:rsidRPr="00932F81" w:rsidRDefault="000F6153" w:rsidP="00630879">
            <w:pPr>
              <w:rPr>
                <w:sz w:val="20"/>
                <w:szCs w:val="20"/>
              </w:rPr>
            </w:pPr>
            <w:r>
              <w:rPr>
                <w:sz w:val="20"/>
                <w:szCs w:val="20"/>
              </w:rPr>
              <w:t>Dr. med. Leps</w:t>
            </w:r>
          </w:p>
        </w:tc>
      </w:tr>
      <w:tr w:rsidR="00FE4BC3" w:rsidRPr="001A61B7" w:rsidTr="000517E4">
        <w:trPr>
          <w:trHeight w:val="2942"/>
        </w:trPr>
        <w:tc>
          <w:tcPr>
            <w:tcW w:w="1323" w:type="pct"/>
            <w:vAlign w:val="center"/>
          </w:tcPr>
          <w:p w:rsidR="00FE4BC3" w:rsidRPr="00932F81" w:rsidRDefault="00FE4BC3" w:rsidP="00630879">
            <w:pPr>
              <w:rPr>
                <w:sz w:val="20"/>
                <w:szCs w:val="20"/>
              </w:rPr>
            </w:pPr>
            <w:r w:rsidRPr="00932F81">
              <w:rPr>
                <w:sz w:val="20"/>
                <w:szCs w:val="20"/>
              </w:rPr>
              <w:t>Neurochirurgie</w:t>
            </w:r>
          </w:p>
        </w:tc>
        <w:tc>
          <w:tcPr>
            <w:tcW w:w="1572" w:type="pct"/>
            <w:vAlign w:val="center"/>
          </w:tcPr>
          <w:p w:rsidR="00FE4BC3" w:rsidRPr="00932F81" w:rsidRDefault="00297B68" w:rsidP="00630879">
            <w:pPr>
              <w:rPr>
                <w:sz w:val="20"/>
                <w:szCs w:val="20"/>
              </w:rPr>
            </w:pPr>
            <w:r>
              <w:rPr>
                <w:sz w:val="20"/>
                <w:szCs w:val="20"/>
              </w:rPr>
              <w:t>Prof</w:t>
            </w:r>
            <w:r w:rsidR="00FE4BC3" w:rsidRPr="00932F81">
              <w:rPr>
                <w:sz w:val="20"/>
                <w:szCs w:val="20"/>
              </w:rPr>
              <w:t>. Dr. med. J. Kaminsky</w:t>
            </w:r>
          </w:p>
        </w:tc>
        <w:tc>
          <w:tcPr>
            <w:tcW w:w="2105" w:type="pct"/>
            <w:vAlign w:val="center"/>
          </w:tcPr>
          <w:p w:rsidR="00FE4BC3" w:rsidRPr="00932F81" w:rsidRDefault="00FE4BC3" w:rsidP="00630879">
            <w:pPr>
              <w:rPr>
                <w:sz w:val="20"/>
                <w:szCs w:val="20"/>
              </w:rPr>
            </w:pPr>
            <w:r w:rsidRPr="00932F81">
              <w:rPr>
                <w:sz w:val="20"/>
                <w:szCs w:val="20"/>
              </w:rPr>
              <w:t xml:space="preserve">Wirbelsäuleneingriffe, </w:t>
            </w:r>
            <w:proofErr w:type="spellStart"/>
            <w:r w:rsidRPr="00932F81">
              <w:rPr>
                <w:sz w:val="20"/>
                <w:szCs w:val="20"/>
              </w:rPr>
              <w:t>Vasculäre</w:t>
            </w:r>
            <w:proofErr w:type="spellEnd"/>
            <w:r w:rsidRPr="00932F81">
              <w:rPr>
                <w:sz w:val="20"/>
                <w:szCs w:val="20"/>
              </w:rPr>
              <w:t xml:space="preserve"> Pathologien, Hirneigene Tumoren, So</w:t>
            </w:r>
            <w:r w:rsidR="00297B68">
              <w:rPr>
                <w:sz w:val="20"/>
                <w:szCs w:val="20"/>
              </w:rPr>
              <w:t xml:space="preserve">nstige: </w:t>
            </w:r>
            <w:r w:rsidRPr="00932F81">
              <w:rPr>
                <w:sz w:val="20"/>
                <w:szCs w:val="20"/>
              </w:rPr>
              <w:br/>
              <w:t>Stabilisationsoperationen, intrakranielle Raumforderungen:</w:t>
            </w:r>
          </w:p>
          <w:p w:rsidR="00FE4BC3" w:rsidRPr="00932F81" w:rsidRDefault="00FE4BC3" w:rsidP="00630879">
            <w:pPr>
              <w:rPr>
                <w:sz w:val="20"/>
                <w:szCs w:val="20"/>
              </w:rPr>
            </w:pPr>
            <w:r w:rsidRPr="00932F81">
              <w:rPr>
                <w:sz w:val="20"/>
                <w:szCs w:val="20"/>
              </w:rPr>
              <w:t>Dr. med. M. Merkle</w:t>
            </w:r>
          </w:p>
          <w:p w:rsidR="00FE4BC3" w:rsidRDefault="00FE4BC3" w:rsidP="00630879">
            <w:pPr>
              <w:rPr>
                <w:sz w:val="20"/>
                <w:szCs w:val="20"/>
              </w:rPr>
            </w:pPr>
            <w:r w:rsidRPr="00932F81">
              <w:rPr>
                <w:sz w:val="20"/>
                <w:szCs w:val="20"/>
              </w:rPr>
              <w:t xml:space="preserve">Periphere Nerveneingriffe, Eingriffe am </w:t>
            </w:r>
            <w:proofErr w:type="spellStart"/>
            <w:r w:rsidRPr="00932F81">
              <w:rPr>
                <w:sz w:val="20"/>
                <w:szCs w:val="20"/>
              </w:rPr>
              <w:t>Liquorsystem</w:t>
            </w:r>
            <w:proofErr w:type="spellEnd"/>
            <w:r w:rsidRPr="00932F81">
              <w:rPr>
                <w:sz w:val="20"/>
                <w:szCs w:val="20"/>
              </w:rPr>
              <w:t xml:space="preserve">, Hirnmetastasen, </w:t>
            </w:r>
            <w:proofErr w:type="spellStart"/>
            <w:r w:rsidRPr="00932F81">
              <w:rPr>
                <w:sz w:val="20"/>
                <w:szCs w:val="20"/>
              </w:rPr>
              <w:t>Neurofibromatosebehandlung</w:t>
            </w:r>
            <w:proofErr w:type="spellEnd"/>
            <w:r w:rsidRPr="00932F81">
              <w:rPr>
                <w:sz w:val="20"/>
                <w:szCs w:val="20"/>
              </w:rPr>
              <w:t xml:space="preserve">, Kinderneurochirurgie: </w:t>
            </w:r>
            <w:r w:rsidRPr="00932F81">
              <w:rPr>
                <w:sz w:val="20"/>
                <w:szCs w:val="20"/>
              </w:rPr>
              <w:br/>
              <w:t>Dr. med. C. Nagel</w:t>
            </w:r>
          </w:p>
          <w:p w:rsidR="003A60B7" w:rsidRDefault="003A60B7" w:rsidP="00630879">
            <w:pPr>
              <w:rPr>
                <w:sz w:val="20"/>
                <w:szCs w:val="20"/>
              </w:rPr>
            </w:pPr>
            <w:r w:rsidRPr="00932F81">
              <w:rPr>
                <w:sz w:val="20"/>
                <w:szCs w:val="20"/>
              </w:rPr>
              <w:t>Wirbelsäuleneingriffe</w:t>
            </w:r>
            <w:r>
              <w:rPr>
                <w:sz w:val="20"/>
                <w:szCs w:val="20"/>
              </w:rPr>
              <w:t>, Schmerztherapie:</w:t>
            </w:r>
          </w:p>
          <w:p w:rsidR="003A60B7" w:rsidRDefault="003A60B7" w:rsidP="00630879">
            <w:pPr>
              <w:rPr>
                <w:sz w:val="20"/>
                <w:szCs w:val="20"/>
              </w:rPr>
            </w:pPr>
            <w:r>
              <w:rPr>
                <w:sz w:val="20"/>
                <w:szCs w:val="20"/>
              </w:rPr>
              <w:t>Dr. med. S. Hajjaj</w:t>
            </w:r>
          </w:p>
          <w:p w:rsidR="003F18A3" w:rsidRPr="00932F81" w:rsidRDefault="003F18A3" w:rsidP="003F18A3">
            <w:pPr>
              <w:rPr>
                <w:sz w:val="20"/>
                <w:szCs w:val="20"/>
              </w:rPr>
            </w:pPr>
            <w:r>
              <w:rPr>
                <w:sz w:val="20"/>
                <w:szCs w:val="20"/>
              </w:rPr>
              <w:t>Dr. med. M. Mühmer</w:t>
            </w:r>
          </w:p>
        </w:tc>
      </w:tr>
      <w:tr w:rsidR="00FE4BC3" w:rsidRPr="001A61B7" w:rsidTr="000517E4">
        <w:trPr>
          <w:trHeight w:val="567"/>
        </w:trPr>
        <w:tc>
          <w:tcPr>
            <w:tcW w:w="1323" w:type="pct"/>
            <w:vAlign w:val="center"/>
          </w:tcPr>
          <w:p w:rsidR="00FE4BC3" w:rsidRPr="00932F81" w:rsidRDefault="00FE4BC3" w:rsidP="00630879">
            <w:pPr>
              <w:rPr>
                <w:sz w:val="20"/>
                <w:szCs w:val="20"/>
              </w:rPr>
            </w:pPr>
            <w:r w:rsidRPr="00932F81">
              <w:rPr>
                <w:sz w:val="20"/>
                <w:szCs w:val="20"/>
              </w:rPr>
              <w:t>Innere Medizin – Kardiologie</w:t>
            </w:r>
          </w:p>
        </w:tc>
        <w:tc>
          <w:tcPr>
            <w:tcW w:w="1572" w:type="pct"/>
            <w:vAlign w:val="center"/>
          </w:tcPr>
          <w:p w:rsidR="00FE4BC3" w:rsidRPr="002A5B1B" w:rsidRDefault="00FE4BC3" w:rsidP="00630879">
            <w:pPr>
              <w:rPr>
                <w:sz w:val="20"/>
                <w:szCs w:val="20"/>
                <w:lang w:val="en-US"/>
              </w:rPr>
            </w:pPr>
            <w:r w:rsidRPr="002A5B1B">
              <w:rPr>
                <w:sz w:val="20"/>
                <w:szCs w:val="20"/>
                <w:lang w:val="en-US"/>
              </w:rPr>
              <w:t>Dr. med. W. Haist</w:t>
            </w:r>
          </w:p>
          <w:p w:rsidR="00854459" w:rsidRPr="00932F81" w:rsidRDefault="00854459" w:rsidP="00854459">
            <w:pPr>
              <w:rPr>
                <w:sz w:val="20"/>
                <w:szCs w:val="20"/>
              </w:rPr>
            </w:pPr>
            <w:r w:rsidRPr="002A5B1B">
              <w:rPr>
                <w:sz w:val="20"/>
                <w:szCs w:val="20"/>
                <w:lang w:val="en-US"/>
              </w:rPr>
              <w:t xml:space="preserve">Dr. med. </w:t>
            </w:r>
            <w:r>
              <w:rPr>
                <w:sz w:val="20"/>
                <w:szCs w:val="20"/>
              </w:rPr>
              <w:t>C. Hausdorf</w:t>
            </w:r>
          </w:p>
        </w:tc>
        <w:tc>
          <w:tcPr>
            <w:tcW w:w="2105" w:type="pct"/>
            <w:vAlign w:val="center"/>
          </w:tcPr>
          <w:p w:rsidR="00FE4BC3" w:rsidRDefault="00FE4BC3" w:rsidP="00630879">
            <w:pPr>
              <w:rPr>
                <w:sz w:val="20"/>
                <w:szCs w:val="20"/>
              </w:rPr>
            </w:pPr>
            <w:r w:rsidRPr="00932F81">
              <w:rPr>
                <w:sz w:val="20"/>
                <w:szCs w:val="20"/>
              </w:rPr>
              <w:t>T. Kracht</w:t>
            </w:r>
          </w:p>
          <w:p w:rsidR="002A5B1B" w:rsidRPr="00932F81" w:rsidRDefault="002A5B1B" w:rsidP="00630879">
            <w:pPr>
              <w:rPr>
                <w:sz w:val="20"/>
                <w:szCs w:val="20"/>
              </w:rPr>
            </w:pPr>
            <w:r>
              <w:rPr>
                <w:sz w:val="20"/>
                <w:szCs w:val="20"/>
              </w:rPr>
              <w:t>Dr. med. M. Nowak</w:t>
            </w:r>
          </w:p>
        </w:tc>
      </w:tr>
      <w:tr w:rsidR="00FE4BC3" w:rsidRPr="001A61B7" w:rsidTr="000517E4">
        <w:trPr>
          <w:trHeight w:val="567"/>
        </w:trPr>
        <w:tc>
          <w:tcPr>
            <w:tcW w:w="1323" w:type="pct"/>
            <w:vAlign w:val="center"/>
          </w:tcPr>
          <w:p w:rsidR="00FE4BC3" w:rsidRPr="00932F81" w:rsidRDefault="00FE4BC3" w:rsidP="00630879">
            <w:pPr>
              <w:rPr>
                <w:sz w:val="20"/>
                <w:szCs w:val="20"/>
              </w:rPr>
            </w:pPr>
            <w:r w:rsidRPr="00932F81">
              <w:rPr>
                <w:sz w:val="20"/>
                <w:szCs w:val="20"/>
              </w:rPr>
              <w:lastRenderedPageBreak/>
              <w:t>Innere Medizin – Gastroenterologie</w:t>
            </w:r>
          </w:p>
        </w:tc>
        <w:tc>
          <w:tcPr>
            <w:tcW w:w="1572" w:type="pct"/>
            <w:vAlign w:val="center"/>
          </w:tcPr>
          <w:p w:rsidR="00FE4BC3" w:rsidRPr="00932F81" w:rsidRDefault="003F18A3" w:rsidP="00630879">
            <w:pPr>
              <w:rPr>
                <w:sz w:val="20"/>
                <w:szCs w:val="20"/>
              </w:rPr>
            </w:pPr>
            <w:r>
              <w:rPr>
                <w:sz w:val="20"/>
                <w:szCs w:val="20"/>
              </w:rPr>
              <w:t>Dr. med. I. van der Voort</w:t>
            </w:r>
          </w:p>
        </w:tc>
        <w:tc>
          <w:tcPr>
            <w:tcW w:w="2105" w:type="pct"/>
            <w:vAlign w:val="center"/>
          </w:tcPr>
          <w:p w:rsidR="00FE4BC3" w:rsidRPr="00400E7A" w:rsidRDefault="00A449FC" w:rsidP="00E10AD5">
            <w:pPr>
              <w:rPr>
                <w:sz w:val="20"/>
                <w:szCs w:val="20"/>
              </w:rPr>
            </w:pPr>
            <w:r>
              <w:rPr>
                <w:sz w:val="20"/>
                <w:szCs w:val="20"/>
              </w:rPr>
              <w:t>J. Giotis</w:t>
            </w:r>
          </w:p>
        </w:tc>
      </w:tr>
      <w:tr w:rsidR="00FE4BC3" w:rsidRPr="001A61B7" w:rsidTr="000517E4">
        <w:trPr>
          <w:trHeight w:val="567"/>
        </w:trPr>
        <w:tc>
          <w:tcPr>
            <w:tcW w:w="1323" w:type="pct"/>
            <w:tcBorders>
              <w:top w:val="single" w:sz="2" w:space="0" w:color="auto"/>
              <w:left w:val="single" w:sz="2" w:space="0" w:color="auto"/>
              <w:bottom w:val="single" w:sz="2" w:space="0" w:color="auto"/>
              <w:right w:val="single" w:sz="2" w:space="0" w:color="auto"/>
            </w:tcBorders>
            <w:vAlign w:val="center"/>
          </w:tcPr>
          <w:p w:rsidR="00FE4BC3" w:rsidRPr="00932F81" w:rsidRDefault="00FE4BC3" w:rsidP="00630879">
            <w:pPr>
              <w:rPr>
                <w:sz w:val="20"/>
                <w:szCs w:val="20"/>
              </w:rPr>
            </w:pPr>
            <w:r w:rsidRPr="00932F81">
              <w:rPr>
                <w:sz w:val="20"/>
                <w:szCs w:val="20"/>
              </w:rPr>
              <w:t>Hals-Nasen-Ohren-Heilkunde</w:t>
            </w:r>
          </w:p>
          <w:p w:rsidR="00FE4BC3" w:rsidRPr="00932F81" w:rsidRDefault="00FE4BC3" w:rsidP="00630879">
            <w:pPr>
              <w:rPr>
                <w:sz w:val="20"/>
                <w:szCs w:val="20"/>
              </w:rPr>
            </w:pPr>
            <w:r w:rsidRPr="00932F81">
              <w:rPr>
                <w:sz w:val="20"/>
                <w:szCs w:val="20"/>
              </w:rPr>
              <w:t>Plastische Gesichts- und Halschirurgie</w:t>
            </w:r>
          </w:p>
        </w:tc>
        <w:tc>
          <w:tcPr>
            <w:tcW w:w="1572" w:type="pct"/>
            <w:tcBorders>
              <w:top w:val="single" w:sz="2" w:space="0" w:color="auto"/>
              <w:left w:val="single" w:sz="2" w:space="0" w:color="auto"/>
              <w:bottom w:val="single" w:sz="2" w:space="0" w:color="auto"/>
              <w:right w:val="single" w:sz="2" w:space="0" w:color="auto"/>
            </w:tcBorders>
            <w:vAlign w:val="center"/>
          </w:tcPr>
          <w:p w:rsidR="00DE7C69" w:rsidRPr="00932F81" w:rsidRDefault="00FE4BC3" w:rsidP="00630879">
            <w:pPr>
              <w:rPr>
                <w:sz w:val="20"/>
                <w:szCs w:val="20"/>
              </w:rPr>
            </w:pPr>
            <w:r w:rsidRPr="00932F81">
              <w:rPr>
                <w:sz w:val="20"/>
                <w:szCs w:val="20"/>
              </w:rPr>
              <w:t xml:space="preserve">Prof. Dr. med. </w:t>
            </w:r>
            <w:r w:rsidR="00184F8D">
              <w:rPr>
                <w:sz w:val="20"/>
                <w:szCs w:val="20"/>
              </w:rPr>
              <w:t>I. Todt</w:t>
            </w:r>
          </w:p>
        </w:tc>
        <w:tc>
          <w:tcPr>
            <w:tcW w:w="2105" w:type="pct"/>
            <w:tcBorders>
              <w:top w:val="single" w:sz="2" w:space="0" w:color="auto"/>
              <w:left w:val="single" w:sz="2" w:space="0" w:color="auto"/>
              <w:bottom w:val="single" w:sz="2" w:space="0" w:color="auto"/>
              <w:right w:val="single" w:sz="2" w:space="0" w:color="auto"/>
            </w:tcBorders>
            <w:vAlign w:val="center"/>
          </w:tcPr>
          <w:p w:rsidR="00FE4BC3" w:rsidRPr="00932F81" w:rsidRDefault="00184F8D" w:rsidP="00630879">
            <w:pPr>
              <w:rPr>
                <w:sz w:val="20"/>
                <w:szCs w:val="20"/>
              </w:rPr>
            </w:pPr>
            <w:r w:rsidRPr="00932F81">
              <w:rPr>
                <w:sz w:val="20"/>
                <w:szCs w:val="20"/>
              </w:rPr>
              <w:t>Dr. med. A. Zakarneh</w:t>
            </w:r>
          </w:p>
        </w:tc>
      </w:tr>
      <w:tr w:rsidR="00FE4BC3" w:rsidRPr="001A61B7" w:rsidTr="000517E4">
        <w:trPr>
          <w:trHeight w:val="567"/>
        </w:trPr>
        <w:tc>
          <w:tcPr>
            <w:tcW w:w="1323" w:type="pct"/>
            <w:tcBorders>
              <w:top w:val="single" w:sz="2" w:space="0" w:color="auto"/>
              <w:left w:val="single" w:sz="2" w:space="0" w:color="auto"/>
              <w:bottom w:val="single" w:sz="2" w:space="0" w:color="auto"/>
              <w:right w:val="single" w:sz="2" w:space="0" w:color="auto"/>
            </w:tcBorders>
            <w:vAlign w:val="center"/>
          </w:tcPr>
          <w:p w:rsidR="00FE4BC3" w:rsidRPr="00932F81" w:rsidRDefault="00FE4BC3" w:rsidP="00630879">
            <w:pPr>
              <w:rPr>
                <w:sz w:val="20"/>
                <w:szCs w:val="20"/>
              </w:rPr>
            </w:pPr>
            <w:r w:rsidRPr="00932F81">
              <w:rPr>
                <w:sz w:val="20"/>
                <w:szCs w:val="20"/>
              </w:rPr>
              <w:t>Augenheilkunde</w:t>
            </w:r>
          </w:p>
        </w:tc>
        <w:tc>
          <w:tcPr>
            <w:tcW w:w="1572" w:type="pct"/>
            <w:tcBorders>
              <w:top w:val="single" w:sz="2" w:space="0" w:color="auto"/>
              <w:left w:val="single" w:sz="2" w:space="0" w:color="auto"/>
              <w:bottom w:val="single" w:sz="2" w:space="0" w:color="auto"/>
              <w:right w:val="single" w:sz="2" w:space="0" w:color="auto"/>
            </w:tcBorders>
            <w:vAlign w:val="center"/>
          </w:tcPr>
          <w:p w:rsidR="00FE4BC3" w:rsidRPr="00932F81" w:rsidRDefault="00297B68" w:rsidP="00630879">
            <w:pPr>
              <w:rPr>
                <w:sz w:val="20"/>
                <w:szCs w:val="20"/>
              </w:rPr>
            </w:pPr>
            <w:r>
              <w:rPr>
                <w:sz w:val="20"/>
                <w:szCs w:val="20"/>
              </w:rPr>
              <w:t>Prof</w:t>
            </w:r>
            <w:r w:rsidR="00FE4BC3" w:rsidRPr="00932F81">
              <w:rPr>
                <w:sz w:val="20"/>
                <w:szCs w:val="20"/>
              </w:rPr>
              <w:t>. Dr. med. J. Wachtlin</w:t>
            </w:r>
          </w:p>
        </w:tc>
        <w:tc>
          <w:tcPr>
            <w:tcW w:w="2105" w:type="pct"/>
            <w:tcBorders>
              <w:top w:val="single" w:sz="2" w:space="0" w:color="auto"/>
              <w:left w:val="single" w:sz="2" w:space="0" w:color="auto"/>
              <w:bottom w:val="single" w:sz="2" w:space="0" w:color="auto"/>
              <w:right w:val="single" w:sz="2" w:space="0" w:color="auto"/>
            </w:tcBorders>
            <w:vAlign w:val="center"/>
          </w:tcPr>
          <w:p w:rsidR="00FE4BC3" w:rsidRPr="00932F81" w:rsidRDefault="00FE4BC3" w:rsidP="00630879">
            <w:pPr>
              <w:rPr>
                <w:sz w:val="20"/>
                <w:szCs w:val="20"/>
              </w:rPr>
            </w:pPr>
            <w:r w:rsidRPr="00932F81">
              <w:rPr>
                <w:sz w:val="20"/>
                <w:szCs w:val="20"/>
              </w:rPr>
              <w:t>Dr. med. E. Zhang</w:t>
            </w:r>
          </w:p>
        </w:tc>
      </w:tr>
      <w:tr w:rsidR="00FE4BC3" w:rsidRPr="001A61B7" w:rsidTr="000517E4">
        <w:trPr>
          <w:trHeight w:val="567"/>
        </w:trPr>
        <w:tc>
          <w:tcPr>
            <w:tcW w:w="1323" w:type="pct"/>
            <w:tcBorders>
              <w:top w:val="single" w:sz="2" w:space="0" w:color="auto"/>
              <w:left w:val="single" w:sz="2" w:space="0" w:color="auto"/>
              <w:bottom w:val="single" w:sz="2" w:space="0" w:color="auto"/>
              <w:right w:val="single" w:sz="2" w:space="0" w:color="auto"/>
            </w:tcBorders>
            <w:vAlign w:val="center"/>
          </w:tcPr>
          <w:p w:rsidR="00FE4BC3" w:rsidRPr="00932F81" w:rsidRDefault="00FE4BC3" w:rsidP="00630879">
            <w:pPr>
              <w:rPr>
                <w:sz w:val="20"/>
                <w:szCs w:val="20"/>
              </w:rPr>
            </w:pPr>
            <w:r w:rsidRPr="00932F81">
              <w:rPr>
                <w:sz w:val="20"/>
                <w:szCs w:val="20"/>
              </w:rPr>
              <w:t>Geriatrie</w:t>
            </w:r>
          </w:p>
        </w:tc>
        <w:tc>
          <w:tcPr>
            <w:tcW w:w="1572" w:type="pct"/>
            <w:tcBorders>
              <w:top w:val="single" w:sz="2" w:space="0" w:color="auto"/>
              <w:left w:val="single" w:sz="2" w:space="0" w:color="auto"/>
              <w:bottom w:val="single" w:sz="2" w:space="0" w:color="auto"/>
              <w:right w:val="single" w:sz="2" w:space="0" w:color="auto"/>
            </w:tcBorders>
            <w:vAlign w:val="center"/>
          </w:tcPr>
          <w:p w:rsidR="00FE4BC3" w:rsidRPr="00932F81" w:rsidRDefault="00FE4BC3" w:rsidP="00630879">
            <w:pPr>
              <w:rPr>
                <w:sz w:val="20"/>
                <w:szCs w:val="20"/>
              </w:rPr>
            </w:pPr>
            <w:r w:rsidRPr="00932F81">
              <w:rPr>
                <w:sz w:val="20"/>
                <w:szCs w:val="20"/>
              </w:rPr>
              <w:t>Dr. med. C. Stofft</w:t>
            </w:r>
          </w:p>
        </w:tc>
        <w:tc>
          <w:tcPr>
            <w:tcW w:w="2105" w:type="pct"/>
            <w:tcBorders>
              <w:top w:val="single" w:sz="2" w:space="0" w:color="auto"/>
              <w:left w:val="single" w:sz="2" w:space="0" w:color="auto"/>
              <w:bottom w:val="single" w:sz="2" w:space="0" w:color="auto"/>
              <w:right w:val="single" w:sz="2" w:space="0" w:color="auto"/>
            </w:tcBorders>
            <w:vAlign w:val="center"/>
          </w:tcPr>
          <w:p w:rsidR="00FE4BC3" w:rsidRPr="00932F81" w:rsidRDefault="00FE4BC3" w:rsidP="00630879">
            <w:pPr>
              <w:rPr>
                <w:sz w:val="20"/>
                <w:szCs w:val="20"/>
              </w:rPr>
            </w:pPr>
            <w:r w:rsidRPr="00932F81">
              <w:rPr>
                <w:sz w:val="20"/>
                <w:szCs w:val="20"/>
              </w:rPr>
              <w:t>C. Randel</w:t>
            </w:r>
          </w:p>
        </w:tc>
      </w:tr>
      <w:tr w:rsidR="00FE4BC3" w:rsidRPr="001A61B7" w:rsidTr="003F18A3">
        <w:trPr>
          <w:trHeight w:val="622"/>
        </w:trPr>
        <w:tc>
          <w:tcPr>
            <w:tcW w:w="1323" w:type="pct"/>
            <w:tcBorders>
              <w:top w:val="single" w:sz="2" w:space="0" w:color="auto"/>
              <w:left w:val="single" w:sz="2" w:space="0" w:color="auto"/>
              <w:bottom w:val="single" w:sz="2" w:space="0" w:color="auto"/>
              <w:right w:val="single" w:sz="2" w:space="0" w:color="auto"/>
            </w:tcBorders>
            <w:vAlign w:val="center"/>
          </w:tcPr>
          <w:p w:rsidR="00FE4BC3" w:rsidRPr="00932F81" w:rsidRDefault="00FE4BC3" w:rsidP="00630879">
            <w:pPr>
              <w:rPr>
                <w:sz w:val="20"/>
                <w:szCs w:val="20"/>
              </w:rPr>
            </w:pPr>
            <w:r w:rsidRPr="00932F81">
              <w:rPr>
                <w:sz w:val="20"/>
                <w:szCs w:val="20"/>
              </w:rPr>
              <w:t>Anästhesie und Intensivmedizin</w:t>
            </w:r>
          </w:p>
        </w:tc>
        <w:tc>
          <w:tcPr>
            <w:tcW w:w="1572" w:type="pct"/>
            <w:tcBorders>
              <w:top w:val="single" w:sz="2" w:space="0" w:color="auto"/>
              <w:left w:val="single" w:sz="2" w:space="0" w:color="auto"/>
              <w:bottom w:val="single" w:sz="2" w:space="0" w:color="auto"/>
              <w:right w:val="single" w:sz="2" w:space="0" w:color="auto"/>
            </w:tcBorders>
            <w:vAlign w:val="center"/>
          </w:tcPr>
          <w:p w:rsidR="00FE4BC3" w:rsidRDefault="00FE4BC3" w:rsidP="00630879">
            <w:pPr>
              <w:rPr>
                <w:sz w:val="20"/>
                <w:szCs w:val="20"/>
              </w:rPr>
            </w:pPr>
            <w:r w:rsidRPr="00932F81">
              <w:rPr>
                <w:sz w:val="20"/>
                <w:szCs w:val="20"/>
              </w:rPr>
              <w:t>Prof. Dr. med. J. Weimann</w:t>
            </w:r>
          </w:p>
          <w:p w:rsidR="003F18A3" w:rsidRPr="00932F81" w:rsidRDefault="003F18A3" w:rsidP="00630879">
            <w:pPr>
              <w:rPr>
                <w:sz w:val="20"/>
                <w:szCs w:val="20"/>
              </w:rPr>
            </w:pPr>
            <w:r>
              <w:rPr>
                <w:sz w:val="20"/>
                <w:szCs w:val="20"/>
              </w:rPr>
              <w:t xml:space="preserve">Dr. </w:t>
            </w:r>
            <w:proofErr w:type="spellStart"/>
            <w:r>
              <w:rPr>
                <w:sz w:val="20"/>
                <w:szCs w:val="20"/>
              </w:rPr>
              <w:t>med</w:t>
            </w:r>
            <w:r w:rsidRPr="00932F81">
              <w:rPr>
                <w:sz w:val="20"/>
                <w:szCs w:val="20"/>
              </w:rPr>
              <w:t>T</w:t>
            </w:r>
            <w:proofErr w:type="spellEnd"/>
            <w:r w:rsidRPr="00932F81">
              <w:rPr>
                <w:sz w:val="20"/>
                <w:szCs w:val="20"/>
              </w:rPr>
              <w:t>. Reinhart</w:t>
            </w:r>
          </w:p>
        </w:tc>
        <w:tc>
          <w:tcPr>
            <w:tcW w:w="2105" w:type="pct"/>
            <w:tcBorders>
              <w:top w:val="single" w:sz="2" w:space="0" w:color="auto"/>
              <w:left w:val="single" w:sz="2" w:space="0" w:color="auto"/>
              <w:bottom w:val="single" w:sz="2" w:space="0" w:color="auto"/>
              <w:right w:val="single" w:sz="2" w:space="0" w:color="auto"/>
            </w:tcBorders>
            <w:vAlign w:val="center"/>
          </w:tcPr>
          <w:p w:rsidR="00FE4BC3" w:rsidRPr="00932F81" w:rsidRDefault="00FE4BC3" w:rsidP="00630879">
            <w:pPr>
              <w:rPr>
                <w:sz w:val="20"/>
                <w:szCs w:val="20"/>
              </w:rPr>
            </w:pPr>
          </w:p>
        </w:tc>
      </w:tr>
      <w:tr w:rsidR="00FE4BC3" w:rsidRPr="001A61B7" w:rsidTr="000517E4">
        <w:trPr>
          <w:trHeight w:val="567"/>
        </w:trPr>
        <w:tc>
          <w:tcPr>
            <w:tcW w:w="1323" w:type="pct"/>
            <w:tcBorders>
              <w:top w:val="single" w:sz="2" w:space="0" w:color="auto"/>
              <w:left w:val="single" w:sz="2" w:space="0" w:color="auto"/>
              <w:bottom w:val="single" w:sz="2" w:space="0" w:color="auto"/>
              <w:right w:val="single" w:sz="2" w:space="0" w:color="auto"/>
            </w:tcBorders>
            <w:vAlign w:val="center"/>
          </w:tcPr>
          <w:p w:rsidR="00FE4BC3" w:rsidRPr="00932F81" w:rsidRDefault="00FE4BC3" w:rsidP="00630879">
            <w:pPr>
              <w:rPr>
                <w:sz w:val="20"/>
                <w:szCs w:val="20"/>
              </w:rPr>
            </w:pPr>
            <w:r w:rsidRPr="00932F81">
              <w:rPr>
                <w:sz w:val="20"/>
                <w:szCs w:val="20"/>
              </w:rPr>
              <w:t>Radiologie</w:t>
            </w:r>
          </w:p>
        </w:tc>
        <w:tc>
          <w:tcPr>
            <w:tcW w:w="1572" w:type="pct"/>
            <w:tcBorders>
              <w:top w:val="single" w:sz="2" w:space="0" w:color="auto"/>
              <w:left w:val="single" w:sz="2" w:space="0" w:color="auto"/>
              <w:bottom w:val="single" w:sz="2" w:space="0" w:color="auto"/>
              <w:right w:val="single" w:sz="2" w:space="0" w:color="auto"/>
            </w:tcBorders>
            <w:vAlign w:val="center"/>
          </w:tcPr>
          <w:p w:rsidR="00FE4BC3" w:rsidRPr="00932F81" w:rsidRDefault="004B2A29" w:rsidP="00630879">
            <w:pPr>
              <w:rPr>
                <w:sz w:val="20"/>
                <w:szCs w:val="20"/>
              </w:rPr>
            </w:pPr>
            <w:r>
              <w:rPr>
                <w:sz w:val="20"/>
                <w:szCs w:val="20"/>
              </w:rPr>
              <w:t>Prof. Dr. med. M. Grothoff</w:t>
            </w:r>
          </w:p>
        </w:tc>
        <w:tc>
          <w:tcPr>
            <w:tcW w:w="2105" w:type="pct"/>
            <w:tcBorders>
              <w:top w:val="single" w:sz="2" w:space="0" w:color="auto"/>
              <w:left w:val="single" w:sz="2" w:space="0" w:color="auto"/>
              <w:bottom w:val="single" w:sz="2" w:space="0" w:color="auto"/>
              <w:right w:val="single" w:sz="2" w:space="0" w:color="auto"/>
            </w:tcBorders>
            <w:vAlign w:val="center"/>
          </w:tcPr>
          <w:p w:rsidR="00FE4BC3" w:rsidRPr="00932F81" w:rsidRDefault="00956740" w:rsidP="00630879">
            <w:pPr>
              <w:rPr>
                <w:sz w:val="20"/>
                <w:szCs w:val="20"/>
              </w:rPr>
            </w:pPr>
            <w:r>
              <w:rPr>
                <w:sz w:val="20"/>
                <w:szCs w:val="20"/>
              </w:rPr>
              <w:t>P. Müller</w:t>
            </w:r>
          </w:p>
        </w:tc>
      </w:tr>
      <w:tr w:rsidR="00FE4BC3" w:rsidRPr="001A61B7" w:rsidTr="000517E4">
        <w:trPr>
          <w:trHeight w:val="567"/>
        </w:trPr>
        <w:tc>
          <w:tcPr>
            <w:tcW w:w="1323" w:type="pct"/>
            <w:tcBorders>
              <w:top w:val="single" w:sz="2" w:space="0" w:color="auto"/>
              <w:left w:val="single" w:sz="2" w:space="0" w:color="auto"/>
              <w:bottom w:val="single" w:sz="2" w:space="0" w:color="auto"/>
              <w:right w:val="single" w:sz="2" w:space="0" w:color="auto"/>
            </w:tcBorders>
            <w:vAlign w:val="center"/>
          </w:tcPr>
          <w:p w:rsidR="00FE4BC3" w:rsidRPr="00932F81" w:rsidRDefault="00FE4BC3" w:rsidP="00630879">
            <w:pPr>
              <w:rPr>
                <w:sz w:val="20"/>
                <w:szCs w:val="20"/>
              </w:rPr>
            </w:pPr>
            <w:r w:rsidRPr="00932F81">
              <w:rPr>
                <w:sz w:val="20"/>
                <w:szCs w:val="20"/>
              </w:rPr>
              <w:t>Labor</w:t>
            </w:r>
          </w:p>
        </w:tc>
        <w:tc>
          <w:tcPr>
            <w:tcW w:w="1572" w:type="pct"/>
            <w:tcBorders>
              <w:top w:val="single" w:sz="2" w:space="0" w:color="auto"/>
              <w:left w:val="single" w:sz="2" w:space="0" w:color="auto"/>
              <w:bottom w:val="single" w:sz="2" w:space="0" w:color="auto"/>
              <w:right w:val="single" w:sz="2" w:space="0" w:color="auto"/>
            </w:tcBorders>
            <w:vAlign w:val="center"/>
          </w:tcPr>
          <w:p w:rsidR="00FE4BC3" w:rsidRPr="00932F81" w:rsidRDefault="00FE4BC3" w:rsidP="00630879">
            <w:pPr>
              <w:rPr>
                <w:sz w:val="20"/>
                <w:szCs w:val="20"/>
              </w:rPr>
            </w:pPr>
            <w:r w:rsidRPr="00932F81">
              <w:rPr>
                <w:sz w:val="20"/>
                <w:szCs w:val="20"/>
              </w:rPr>
              <w:t>Priv.-</w:t>
            </w:r>
            <w:proofErr w:type="spellStart"/>
            <w:r w:rsidRPr="00932F81">
              <w:rPr>
                <w:sz w:val="20"/>
                <w:szCs w:val="20"/>
              </w:rPr>
              <w:t>Doz</w:t>
            </w:r>
            <w:proofErr w:type="spellEnd"/>
            <w:r w:rsidRPr="00932F81">
              <w:rPr>
                <w:sz w:val="20"/>
                <w:szCs w:val="20"/>
              </w:rPr>
              <w:t xml:space="preserve">. Dr. med. Dr. </w:t>
            </w:r>
            <w:proofErr w:type="spellStart"/>
            <w:r w:rsidRPr="00932F81">
              <w:rPr>
                <w:sz w:val="20"/>
                <w:szCs w:val="20"/>
              </w:rPr>
              <w:t>rer</w:t>
            </w:r>
            <w:proofErr w:type="spellEnd"/>
            <w:r w:rsidRPr="00932F81">
              <w:rPr>
                <w:sz w:val="20"/>
                <w:szCs w:val="20"/>
              </w:rPr>
              <w:t>. nat. K. Schlatterer-Krauter</w:t>
            </w:r>
          </w:p>
        </w:tc>
        <w:tc>
          <w:tcPr>
            <w:tcW w:w="2105" w:type="pct"/>
            <w:tcBorders>
              <w:top w:val="single" w:sz="2" w:space="0" w:color="auto"/>
              <w:left w:val="single" w:sz="2" w:space="0" w:color="auto"/>
              <w:bottom w:val="single" w:sz="2" w:space="0" w:color="auto"/>
              <w:right w:val="single" w:sz="2" w:space="0" w:color="auto"/>
            </w:tcBorders>
            <w:vAlign w:val="center"/>
          </w:tcPr>
          <w:p w:rsidR="00FE4BC3" w:rsidRPr="00932F81" w:rsidRDefault="00FE4BC3" w:rsidP="00630879">
            <w:pPr>
              <w:rPr>
                <w:sz w:val="20"/>
                <w:szCs w:val="20"/>
              </w:rPr>
            </w:pPr>
          </w:p>
        </w:tc>
      </w:tr>
      <w:tr w:rsidR="00956740" w:rsidRPr="001A61B7" w:rsidTr="003F18A3">
        <w:trPr>
          <w:trHeight w:val="618"/>
        </w:trPr>
        <w:tc>
          <w:tcPr>
            <w:tcW w:w="1323" w:type="pct"/>
            <w:tcBorders>
              <w:top w:val="single" w:sz="2" w:space="0" w:color="auto"/>
              <w:left w:val="single" w:sz="2" w:space="0" w:color="auto"/>
              <w:bottom w:val="single" w:sz="2" w:space="0" w:color="auto"/>
              <w:right w:val="single" w:sz="2" w:space="0" w:color="auto"/>
            </w:tcBorders>
            <w:vAlign w:val="center"/>
          </w:tcPr>
          <w:p w:rsidR="00956740" w:rsidRPr="00932F81" w:rsidRDefault="00956740" w:rsidP="00630879">
            <w:pPr>
              <w:rPr>
                <w:sz w:val="20"/>
                <w:szCs w:val="20"/>
              </w:rPr>
            </w:pPr>
            <w:r>
              <w:rPr>
                <w:sz w:val="20"/>
                <w:szCs w:val="20"/>
              </w:rPr>
              <w:t>Sonstige Leistungserbringer</w:t>
            </w:r>
          </w:p>
        </w:tc>
        <w:tc>
          <w:tcPr>
            <w:tcW w:w="1572" w:type="pct"/>
            <w:tcBorders>
              <w:top w:val="single" w:sz="2" w:space="0" w:color="auto"/>
              <w:left w:val="single" w:sz="2" w:space="0" w:color="auto"/>
              <w:bottom w:val="single" w:sz="2" w:space="0" w:color="auto"/>
              <w:right w:val="single" w:sz="2" w:space="0" w:color="auto"/>
            </w:tcBorders>
            <w:vAlign w:val="center"/>
          </w:tcPr>
          <w:p w:rsidR="003A60B7" w:rsidRPr="00932F81" w:rsidRDefault="003A60B7" w:rsidP="00630879">
            <w:pPr>
              <w:rPr>
                <w:sz w:val="20"/>
                <w:szCs w:val="20"/>
              </w:rPr>
            </w:pPr>
            <w:r>
              <w:rPr>
                <w:sz w:val="20"/>
                <w:szCs w:val="20"/>
              </w:rPr>
              <w:t>Dr. med. C. Giesche</w:t>
            </w:r>
          </w:p>
        </w:tc>
        <w:tc>
          <w:tcPr>
            <w:tcW w:w="2105" w:type="pct"/>
            <w:tcBorders>
              <w:top w:val="single" w:sz="2" w:space="0" w:color="auto"/>
              <w:left w:val="single" w:sz="2" w:space="0" w:color="auto"/>
              <w:bottom w:val="single" w:sz="2" w:space="0" w:color="auto"/>
              <w:right w:val="single" w:sz="2" w:space="0" w:color="auto"/>
            </w:tcBorders>
            <w:vAlign w:val="center"/>
          </w:tcPr>
          <w:p w:rsidR="003A60B7" w:rsidRPr="006D4C45" w:rsidRDefault="003A60B7" w:rsidP="00956740">
            <w:pPr>
              <w:rPr>
                <w:color w:val="343434"/>
                <w:sz w:val="20"/>
                <w:szCs w:val="20"/>
              </w:rPr>
            </w:pPr>
            <w:r w:rsidRPr="00956740">
              <w:rPr>
                <w:sz w:val="20"/>
                <w:szCs w:val="20"/>
              </w:rPr>
              <w:t>Diabetologie</w:t>
            </w:r>
          </w:p>
        </w:tc>
      </w:tr>
    </w:tbl>
    <w:p w:rsidR="006D3A68" w:rsidRPr="009900D3" w:rsidRDefault="006D3A68" w:rsidP="006D3A68">
      <w:pPr>
        <w:spacing w:before="180"/>
        <w:ind w:left="420"/>
        <w:jc w:val="both"/>
        <w:rPr>
          <w:b/>
          <w:bCs/>
          <w:sz w:val="20"/>
          <w:szCs w:val="20"/>
        </w:rPr>
      </w:pPr>
      <w:r>
        <w:rPr>
          <w:b/>
          <w:bCs/>
          <w:sz w:val="20"/>
          <w:szCs w:val="20"/>
        </w:rPr>
        <w:t>D</w:t>
      </w:r>
      <w:r w:rsidRPr="009900D3">
        <w:rPr>
          <w:b/>
          <w:bCs/>
          <w:sz w:val="20"/>
          <w:szCs w:val="20"/>
        </w:rPr>
        <w:t>ie Untersuchung von Gewebeproben</w:t>
      </w:r>
      <w:r>
        <w:rPr>
          <w:b/>
          <w:bCs/>
          <w:sz w:val="20"/>
          <w:szCs w:val="20"/>
        </w:rPr>
        <w:t xml:space="preserve"> erfolgt</w:t>
      </w:r>
      <w:r w:rsidRPr="009900D3">
        <w:rPr>
          <w:b/>
          <w:bCs/>
          <w:sz w:val="20"/>
          <w:szCs w:val="20"/>
        </w:rPr>
        <w:t xml:space="preserve"> durch das Institut für</w:t>
      </w:r>
      <w:r>
        <w:rPr>
          <w:b/>
          <w:bCs/>
          <w:sz w:val="20"/>
          <w:szCs w:val="20"/>
        </w:rPr>
        <w:t xml:space="preserve"> </w:t>
      </w:r>
      <w:r w:rsidRPr="009900D3">
        <w:rPr>
          <w:b/>
          <w:bCs/>
          <w:sz w:val="20"/>
          <w:szCs w:val="20"/>
        </w:rPr>
        <w:t>Gewebediagnostik am MVZ des HELIOS Klinikums Emil von Behring. Die Abrechnung der</w:t>
      </w:r>
      <w:r>
        <w:rPr>
          <w:b/>
          <w:bCs/>
          <w:sz w:val="20"/>
          <w:szCs w:val="20"/>
        </w:rPr>
        <w:t xml:space="preserve"> </w:t>
      </w:r>
      <w:r w:rsidRPr="009900D3">
        <w:rPr>
          <w:b/>
          <w:bCs/>
          <w:sz w:val="20"/>
          <w:szCs w:val="20"/>
        </w:rPr>
        <w:t>Privatliquidation erfolgt über das Institut.</w:t>
      </w:r>
    </w:p>
    <w:p w:rsidR="006D3A68" w:rsidRPr="004E64F4" w:rsidRDefault="006D3A68" w:rsidP="007C1925">
      <w:pPr>
        <w:spacing w:before="180"/>
        <w:ind w:left="425"/>
        <w:jc w:val="both"/>
        <w:rPr>
          <w:sz w:val="20"/>
          <w:szCs w:val="20"/>
        </w:rPr>
      </w:pPr>
      <w:r w:rsidRPr="004E64F4">
        <w:rPr>
          <w:b/>
          <w:bCs/>
          <w:sz w:val="20"/>
          <w:szCs w:val="20"/>
        </w:rPr>
        <w:t>Selbstverständlich werden Ihnen auch ohne Abschluss der Wahlleistungsvereinbarung alle medizinisch erforderlichen Leistungen zuteil, jedoch richtet sich dann die Person des behandelnden Arztes ausschließlich nach der medizinischen Notwendigkeit.</w:t>
      </w:r>
    </w:p>
    <w:p w:rsidR="006D3A68" w:rsidRPr="004E64F4" w:rsidRDefault="006D3A68" w:rsidP="007C1925">
      <w:pPr>
        <w:jc w:val="both"/>
        <w:rPr>
          <w:sz w:val="20"/>
          <w:szCs w:val="20"/>
        </w:rPr>
      </w:pPr>
    </w:p>
    <w:p w:rsidR="006D3A68" w:rsidRPr="004E64F4" w:rsidRDefault="006D3A68" w:rsidP="00E070D9">
      <w:pPr>
        <w:numPr>
          <w:ilvl w:val="0"/>
          <w:numId w:val="1"/>
        </w:numPr>
        <w:tabs>
          <w:tab w:val="clear" w:pos="720"/>
        </w:tabs>
        <w:ind w:left="426" w:hanging="426"/>
        <w:jc w:val="both"/>
        <w:rPr>
          <w:sz w:val="20"/>
          <w:szCs w:val="20"/>
        </w:rPr>
      </w:pPr>
      <w:r w:rsidRPr="004E64F4">
        <w:rPr>
          <w:sz w:val="20"/>
          <w:szCs w:val="20"/>
        </w:rPr>
        <w:t xml:space="preserve">Im Einzelnen richtet sich die konkrete Abrechnung nach den Regeln der </w:t>
      </w:r>
      <w:r w:rsidRPr="004E64F4">
        <w:rPr>
          <w:b/>
          <w:bCs/>
          <w:sz w:val="20"/>
          <w:szCs w:val="20"/>
        </w:rPr>
        <w:t xml:space="preserve">amtlichen Gebührenordnung </w:t>
      </w:r>
      <w:r w:rsidRPr="004E64F4">
        <w:rPr>
          <w:sz w:val="20"/>
          <w:szCs w:val="20"/>
        </w:rPr>
        <w:t>für Ärzte (GOÄ). Diese Gebührenwerke weisen folgende Grundsystematik auf:</w:t>
      </w:r>
    </w:p>
    <w:p w:rsidR="006D3A68" w:rsidRPr="004E64F4" w:rsidRDefault="006D3A68" w:rsidP="009D5CD1">
      <w:pPr>
        <w:spacing w:before="180"/>
        <w:ind w:left="425"/>
        <w:jc w:val="both"/>
        <w:rPr>
          <w:sz w:val="20"/>
          <w:szCs w:val="20"/>
        </w:rPr>
      </w:pPr>
      <w:r w:rsidRPr="004E64F4">
        <w:rPr>
          <w:sz w:val="20"/>
          <w:szCs w:val="20"/>
        </w:rPr>
        <w:t>In einer ersten Spalte wird die abrechenbare Leistung mit einer Gebührenziffer versehen. Dieser Gebührenziffer ist in einer zweiten Spalte die verbale Beschreibung der abrechenbaren Leistungen zugeordnet. In einer dritten Spalte wird die Leistung mit einer Punktzahl bewertet. Dieser Punktzahl ist ein für die ganze GOÄ einheitlicher Punktwert zugeordnet, welcher in Cent ausgedrückt ist. Der derzeit gültige Punktwert liegt gemäß § 5 Abs. 1 GOÄ bei 5,82873 Cent.</w:t>
      </w:r>
      <w:r w:rsidR="009D5CD1">
        <w:rPr>
          <w:sz w:val="20"/>
          <w:szCs w:val="20"/>
        </w:rPr>
        <w:t xml:space="preserve"> </w:t>
      </w:r>
      <w:r w:rsidRPr="004E64F4">
        <w:rPr>
          <w:sz w:val="20"/>
          <w:szCs w:val="20"/>
        </w:rPr>
        <w:t>Aus der Multiplikation von Punktzahlen und Punktwert ergibt sich der Preis für diese Leistung, welcher in einer Spalte 4 der GOÄ ausgewiesen ist.</w:t>
      </w:r>
    </w:p>
    <w:p w:rsidR="006D3A68" w:rsidRPr="009D5CD1" w:rsidRDefault="006D3A68" w:rsidP="007C1925">
      <w:pPr>
        <w:ind w:left="425"/>
        <w:jc w:val="both"/>
        <w:rPr>
          <w:sz w:val="12"/>
          <w:szCs w:val="12"/>
        </w:rPr>
      </w:pPr>
    </w:p>
    <w:p w:rsidR="006D3A68" w:rsidRPr="004E64F4" w:rsidRDefault="006D3A68" w:rsidP="000A5502">
      <w:pPr>
        <w:ind w:left="425"/>
        <w:jc w:val="both"/>
        <w:outlineLvl w:val="0"/>
        <w:rPr>
          <w:sz w:val="20"/>
          <w:szCs w:val="20"/>
        </w:rPr>
      </w:pPr>
      <w:r w:rsidRPr="004E64F4">
        <w:rPr>
          <w:sz w:val="20"/>
          <w:szCs w:val="20"/>
          <w:u w:val="single"/>
        </w:rPr>
        <w:t>Beispiel:</w:t>
      </w:r>
    </w:p>
    <w:p w:rsidR="006D3A68" w:rsidRPr="004E64F4" w:rsidRDefault="006D3A68" w:rsidP="007C1925">
      <w:pPr>
        <w:ind w:left="425"/>
        <w:jc w:val="both"/>
        <w:rPr>
          <w:sz w:val="20"/>
          <w:szCs w:val="20"/>
        </w:rPr>
      </w:pPr>
    </w:p>
    <w:tbl>
      <w:tblPr>
        <w:tblW w:w="0" w:type="auto"/>
        <w:tblInd w:w="5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16"/>
        <w:gridCol w:w="3516"/>
        <w:gridCol w:w="1157"/>
        <w:gridCol w:w="3341"/>
      </w:tblGrid>
      <w:tr w:rsidR="006D3A68" w:rsidRPr="00C03B64" w:rsidTr="00C03B64">
        <w:trPr>
          <w:trHeight w:val="323"/>
        </w:trPr>
        <w:tc>
          <w:tcPr>
            <w:tcW w:w="716" w:type="dxa"/>
            <w:shd w:val="clear" w:color="auto" w:fill="auto"/>
            <w:vAlign w:val="center"/>
          </w:tcPr>
          <w:p w:rsidR="006D3A68" w:rsidRPr="00C03B64" w:rsidRDefault="006D3A68" w:rsidP="009D5CD1">
            <w:pPr>
              <w:rPr>
                <w:b/>
                <w:sz w:val="20"/>
                <w:szCs w:val="20"/>
              </w:rPr>
            </w:pPr>
            <w:r w:rsidRPr="00C03B64">
              <w:rPr>
                <w:b/>
                <w:sz w:val="20"/>
                <w:szCs w:val="20"/>
              </w:rPr>
              <w:t>Ziffer</w:t>
            </w:r>
          </w:p>
        </w:tc>
        <w:tc>
          <w:tcPr>
            <w:tcW w:w="3516" w:type="dxa"/>
            <w:shd w:val="clear" w:color="auto" w:fill="auto"/>
            <w:vAlign w:val="center"/>
          </w:tcPr>
          <w:p w:rsidR="006D3A68" w:rsidRPr="00C03B64" w:rsidRDefault="006D3A68" w:rsidP="009D5CD1">
            <w:pPr>
              <w:rPr>
                <w:b/>
                <w:sz w:val="20"/>
                <w:szCs w:val="20"/>
              </w:rPr>
            </w:pPr>
            <w:r w:rsidRPr="00C03B64">
              <w:rPr>
                <w:b/>
                <w:sz w:val="20"/>
                <w:szCs w:val="20"/>
              </w:rPr>
              <w:t>Leistungsbeschreibung</w:t>
            </w:r>
          </w:p>
        </w:tc>
        <w:tc>
          <w:tcPr>
            <w:tcW w:w="1157" w:type="dxa"/>
            <w:shd w:val="clear" w:color="auto" w:fill="auto"/>
            <w:vAlign w:val="center"/>
          </w:tcPr>
          <w:p w:rsidR="006D3A68" w:rsidRPr="00C03B64" w:rsidRDefault="006D3A68" w:rsidP="009D5CD1">
            <w:pPr>
              <w:rPr>
                <w:b/>
                <w:sz w:val="20"/>
                <w:szCs w:val="20"/>
              </w:rPr>
            </w:pPr>
            <w:r w:rsidRPr="00C03B64">
              <w:rPr>
                <w:b/>
                <w:sz w:val="20"/>
                <w:szCs w:val="20"/>
              </w:rPr>
              <w:t>Punktzahl</w:t>
            </w:r>
          </w:p>
        </w:tc>
        <w:tc>
          <w:tcPr>
            <w:tcW w:w="3341" w:type="dxa"/>
            <w:shd w:val="clear" w:color="auto" w:fill="auto"/>
            <w:vAlign w:val="center"/>
          </w:tcPr>
          <w:p w:rsidR="006D3A68" w:rsidRPr="00C03B64" w:rsidRDefault="006D3A68" w:rsidP="009D5CD1">
            <w:pPr>
              <w:rPr>
                <w:b/>
                <w:sz w:val="20"/>
                <w:szCs w:val="20"/>
              </w:rPr>
            </w:pPr>
            <w:r w:rsidRPr="00C03B64">
              <w:rPr>
                <w:b/>
                <w:sz w:val="20"/>
                <w:szCs w:val="20"/>
              </w:rPr>
              <w:t>Preis (Einfachsatz), gerundet</w:t>
            </w:r>
          </w:p>
        </w:tc>
      </w:tr>
      <w:tr w:rsidR="006D3A68" w:rsidRPr="00C03B64" w:rsidTr="00C03B64">
        <w:trPr>
          <w:trHeight w:val="322"/>
        </w:trPr>
        <w:tc>
          <w:tcPr>
            <w:tcW w:w="716" w:type="dxa"/>
            <w:shd w:val="clear" w:color="auto" w:fill="auto"/>
            <w:vAlign w:val="center"/>
          </w:tcPr>
          <w:p w:rsidR="006D3A68" w:rsidRPr="00C03B64" w:rsidRDefault="000E61C5" w:rsidP="009D5CD1">
            <w:pPr>
              <w:rPr>
                <w:sz w:val="20"/>
                <w:szCs w:val="20"/>
              </w:rPr>
            </w:pPr>
            <w:r w:rsidRPr="00C03B64">
              <w:rPr>
                <w:sz w:val="20"/>
                <w:szCs w:val="20"/>
              </w:rPr>
              <w:t xml:space="preserve">    </w:t>
            </w:r>
            <w:r w:rsidR="006D3A68" w:rsidRPr="00C03B64">
              <w:rPr>
                <w:sz w:val="20"/>
                <w:szCs w:val="20"/>
              </w:rPr>
              <w:t>1</w:t>
            </w:r>
          </w:p>
        </w:tc>
        <w:tc>
          <w:tcPr>
            <w:tcW w:w="3516" w:type="dxa"/>
            <w:shd w:val="clear" w:color="auto" w:fill="auto"/>
            <w:vAlign w:val="center"/>
          </w:tcPr>
          <w:p w:rsidR="006D3A68" w:rsidRPr="00C03B64" w:rsidRDefault="006D3A68" w:rsidP="009D5CD1">
            <w:pPr>
              <w:rPr>
                <w:sz w:val="20"/>
                <w:szCs w:val="20"/>
              </w:rPr>
            </w:pPr>
            <w:r w:rsidRPr="00C03B64">
              <w:rPr>
                <w:sz w:val="20"/>
                <w:szCs w:val="20"/>
              </w:rPr>
              <w:t>Beratung – auch mittels</w:t>
            </w:r>
            <w:r w:rsidR="000E61C5" w:rsidRPr="00C03B64">
              <w:rPr>
                <w:sz w:val="20"/>
                <w:szCs w:val="20"/>
              </w:rPr>
              <w:t xml:space="preserve"> Fernsprecher –</w:t>
            </w:r>
          </w:p>
        </w:tc>
        <w:tc>
          <w:tcPr>
            <w:tcW w:w="1157" w:type="dxa"/>
            <w:shd w:val="clear" w:color="auto" w:fill="auto"/>
            <w:vAlign w:val="center"/>
          </w:tcPr>
          <w:p w:rsidR="006D3A68" w:rsidRPr="00C03B64" w:rsidRDefault="000E61C5" w:rsidP="009D5CD1">
            <w:pPr>
              <w:rPr>
                <w:sz w:val="20"/>
                <w:szCs w:val="20"/>
              </w:rPr>
            </w:pPr>
            <w:r w:rsidRPr="00C03B64">
              <w:rPr>
                <w:sz w:val="20"/>
                <w:szCs w:val="20"/>
              </w:rPr>
              <w:t xml:space="preserve">      </w:t>
            </w:r>
            <w:r w:rsidR="006D3A68" w:rsidRPr="00C03B64">
              <w:rPr>
                <w:sz w:val="20"/>
                <w:szCs w:val="20"/>
              </w:rPr>
              <w:t>80</w:t>
            </w:r>
          </w:p>
        </w:tc>
        <w:tc>
          <w:tcPr>
            <w:tcW w:w="3341" w:type="dxa"/>
            <w:shd w:val="clear" w:color="auto" w:fill="auto"/>
            <w:vAlign w:val="center"/>
          </w:tcPr>
          <w:p w:rsidR="006D3A68" w:rsidRPr="00C03B64" w:rsidRDefault="00365213" w:rsidP="009D5CD1">
            <w:pPr>
              <w:rPr>
                <w:sz w:val="20"/>
                <w:szCs w:val="20"/>
              </w:rPr>
            </w:pPr>
            <w:r w:rsidRPr="00C03B64">
              <w:rPr>
                <w:sz w:val="20"/>
                <w:szCs w:val="20"/>
              </w:rPr>
              <w:t xml:space="preserve">                     </w:t>
            </w:r>
            <w:r w:rsidR="006D3A68" w:rsidRPr="00C03B64">
              <w:rPr>
                <w:sz w:val="20"/>
                <w:szCs w:val="20"/>
              </w:rPr>
              <w:t xml:space="preserve">4,66 </w:t>
            </w:r>
            <w:bookmarkStart w:id="0" w:name="_GoBack"/>
            <w:bookmarkEnd w:id="0"/>
            <w:r w:rsidR="006D3A68" w:rsidRPr="00C03B64">
              <w:rPr>
                <w:sz w:val="20"/>
                <w:szCs w:val="20"/>
              </w:rPr>
              <w:t>€</w:t>
            </w:r>
          </w:p>
        </w:tc>
      </w:tr>
    </w:tbl>
    <w:p w:rsidR="006D3A68" w:rsidRPr="004E64F4" w:rsidRDefault="006D3A68" w:rsidP="007C1925">
      <w:pPr>
        <w:ind w:left="425"/>
        <w:jc w:val="both"/>
        <w:rPr>
          <w:sz w:val="20"/>
          <w:szCs w:val="20"/>
        </w:rPr>
      </w:pPr>
    </w:p>
    <w:p w:rsidR="006D3A68" w:rsidRDefault="006D3A68" w:rsidP="001D38D1">
      <w:pPr>
        <w:ind w:left="425"/>
        <w:jc w:val="both"/>
        <w:rPr>
          <w:sz w:val="20"/>
          <w:szCs w:val="20"/>
        </w:rPr>
      </w:pPr>
      <w:r w:rsidRPr="004E64F4">
        <w:rPr>
          <w:sz w:val="20"/>
          <w:szCs w:val="20"/>
        </w:rPr>
        <w:t>Bei dem so festgelegten Preis handelt es sich um den sogenannten GOÄ-Einfachsatz. Dieser Einfachsatz kann sich durch Steigerungsfaktoren erhöhen. Diese berücksichtigen die Schwierigkeit und den Zeitaufwand der einzelnen Leistung oder die Schwierigkeit des Krankheitsfalles. Innerhalb des normalen Gebührenrahmens gibt es Steigerungssätze zwischen dem Einfachen und dem 3,5fachen des Gebührensatzes, bei technischen Leistungen zwischen dem Einfachen und dem 2,5fachen des Gebührensatzes und bei Laborleistungen zwischen dem Einfachen und dem 1,3fachen des Gebührensatzes. Der Mittelwert liegt für technische Leistungen bei 1,8, für Laborleistungen bei 1,15 und für alle anderen Leistungen bei 2,3. Daneben werden die Gebühren gemäß § 6a GOÄ um 25 % bzw. 15 % gemin</w:t>
      </w:r>
      <w:r w:rsidR="001D38D1">
        <w:rPr>
          <w:sz w:val="20"/>
          <w:szCs w:val="20"/>
        </w:rPr>
        <w:t>dert.</w:t>
      </w:r>
    </w:p>
    <w:p w:rsidR="001D38D1" w:rsidRDefault="001D38D1" w:rsidP="001D38D1">
      <w:pPr>
        <w:ind w:left="425"/>
        <w:jc w:val="both"/>
        <w:rPr>
          <w:sz w:val="20"/>
          <w:szCs w:val="20"/>
        </w:rPr>
      </w:pPr>
    </w:p>
    <w:p w:rsidR="006D3A68" w:rsidRPr="004E64F4" w:rsidRDefault="006D3A68" w:rsidP="001D38D1">
      <w:pPr>
        <w:ind w:left="425"/>
        <w:jc w:val="both"/>
        <w:rPr>
          <w:sz w:val="20"/>
          <w:szCs w:val="20"/>
        </w:rPr>
      </w:pPr>
      <w:r w:rsidRPr="004E64F4">
        <w:rPr>
          <w:sz w:val="20"/>
          <w:szCs w:val="20"/>
        </w:rPr>
        <w:t>Welche Gebührenpositionen bei Ihrem Krankheitsbild zur Abrechnung gelangen und welche Steigerungssätze angewandt werden, lässt sich nicht vorhersagen. Hierfür kommt es darauf an, welche Einzelleistungen im Fortgang des Behandlungsgeschehens konkret erbracht werden, welchen Schwierigkeitsgrad die Leistungen besitzen und welchen Zeitaufwand sie erfordern.</w:t>
      </w:r>
    </w:p>
    <w:p w:rsidR="00F92B80" w:rsidRPr="00427DA5" w:rsidRDefault="00F92B80" w:rsidP="007C1925">
      <w:pPr>
        <w:jc w:val="both"/>
        <w:rPr>
          <w:b/>
          <w:bCs/>
          <w:sz w:val="16"/>
          <w:szCs w:val="16"/>
        </w:rPr>
      </w:pPr>
    </w:p>
    <w:p w:rsidR="006D3A68" w:rsidRPr="004E64F4" w:rsidRDefault="006D3A68" w:rsidP="007C1925">
      <w:pPr>
        <w:jc w:val="both"/>
        <w:rPr>
          <w:b/>
          <w:bCs/>
          <w:sz w:val="20"/>
          <w:szCs w:val="20"/>
        </w:rPr>
      </w:pPr>
      <w:r w:rsidRPr="004E64F4">
        <w:rPr>
          <w:b/>
          <w:bCs/>
          <w:sz w:val="20"/>
          <w:szCs w:val="20"/>
        </w:rPr>
        <w:t>Insgesamt kann die Vereinbarung wahlärztlicher Leistungen eine nicht unerhebliche finanzielle Belastung bedeuten. Prüfen Sie bitte, ob Ihre private Krankenversicherung/Beihilfe oder Ihre gesetzliche Krankenversicherung über einen besonderen Wahltarif nach § 53 SGB V etc. diese Kosten deckt.</w:t>
      </w:r>
    </w:p>
    <w:p w:rsidR="006D3A68" w:rsidRDefault="006D3A68" w:rsidP="007C1925">
      <w:pPr>
        <w:jc w:val="both"/>
        <w:rPr>
          <w:sz w:val="20"/>
          <w:szCs w:val="20"/>
        </w:rPr>
      </w:pPr>
    </w:p>
    <w:p w:rsidR="009D5CD1" w:rsidRPr="009D5CD1" w:rsidRDefault="006D3A68" w:rsidP="009D5CD1">
      <w:pPr>
        <w:jc w:val="both"/>
        <w:rPr>
          <w:sz w:val="20"/>
          <w:szCs w:val="20"/>
        </w:rPr>
      </w:pPr>
      <w:r w:rsidRPr="004E64F4">
        <w:rPr>
          <w:sz w:val="20"/>
          <w:szCs w:val="20"/>
        </w:rPr>
        <w:t>Sollten Sie zu Einzelheiten noch ergänzende Fragen haben, stehen Ihnen die Mitarbeiter des Sekretariats der zuständigen Fachabteilung gerne zur Verfügung</w:t>
      </w:r>
      <w:r>
        <w:rPr>
          <w:sz w:val="20"/>
          <w:szCs w:val="20"/>
        </w:rPr>
        <w:t xml:space="preserve">. </w:t>
      </w:r>
      <w:r w:rsidRPr="004E64F4">
        <w:rPr>
          <w:sz w:val="20"/>
          <w:szCs w:val="20"/>
        </w:rPr>
        <w:t>Gleichzeitig können Sie dort auch jederzeit Einsicht in die GOÄ nehmen.</w:t>
      </w:r>
    </w:p>
    <w:sectPr w:rsidR="009D5CD1" w:rsidRPr="009D5CD1" w:rsidSect="00B4435B">
      <w:footerReference w:type="default" r:id="rId8"/>
      <w:pgSz w:w="11906" w:h="16838"/>
      <w:pgMar w:top="567" w:right="907" w:bottom="85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2DA" w:rsidRDefault="009A62DA" w:rsidP="009A62DA">
      <w:r>
        <w:separator/>
      </w:r>
    </w:p>
  </w:endnote>
  <w:endnote w:type="continuationSeparator" w:id="0">
    <w:p w:rsidR="009A62DA" w:rsidRDefault="009A62DA" w:rsidP="009A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2DA" w:rsidRDefault="009A62DA" w:rsidP="009A62DA">
    <w:pPr>
      <w:pStyle w:val="Fuzeile"/>
      <w:jc w:val="right"/>
    </w:pPr>
    <w:r>
      <w:t xml:space="preserve">Stand: </w:t>
    </w:r>
    <w:r w:rsidR="00C50113">
      <w:t>01</w:t>
    </w:r>
    <w:r>
      <w:t>.</w:t>
    </w:r>
    <w:r w:rsidR="00E871AA">
      <w:t>01</w:t>
    </w:r>
    <w:r>
      <w:t>.20</w:t>
    </w:r>
    <w:r w:rsidR="008A0697">
      <w:t>2</w:t>
    </w:r>
    <w:r w:rsidR="00E871AA">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2DA" w:rsidRDefault="009A62DA" w:rsidP="009A62DA">
      <w:r>
        <w:separator/>
      </w:r>
    </w:p>
  </w:footnote>
  <w:footnote w:type="continuationSeparator" w:id="0">
    <w:p w:rsidR="009A62DA" w:rsidRDefault="009A62DA" w:rsidP="009A6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552"/>
    <w:multiLevelType w:val="hybridMultilevel"/>
    <w:tmpl w:val="72328CD6"/>
    <w:lvl w:ilvl="0" w:tplc="18747F7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96521F"/>
    <w:multiLevelType w:val="hybridMultilevel"/>
    <w:tmpl w:val="60BA3092"/>
    <w:lvl w:ilvl="0" w:tplc="3864DC9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6236DDE"/>
    <w:multiLevelType w:val="hybridMultilevel"/>
    <w:tmpl w:val="00C03724"/>
    <w:lvl w:ilvl="0" w:tplc="0407000F">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3" w15:restartNumberingAfterBreak="0">
    <w:nsid w:val="45AD4BD2"/>
    <w:multiLevelType w:val="hybridMultilevel"/>
    <w:tmpl w:val="9E907BD8"/>
    <w:lvl w:ilvl="0" w:tplc="1A6E645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925"/>
    <w:rsid w:val="000313A8"/>
    <w:rsid w:val="000517E4"/>
    <w:rsid w:val="000814C5"/>
    <w:rsid w:val="0009052A"/>
    <w:rsid w:val="000A5502"/>
    <w:rsid w:val="000A6DC9"/>
    <w:rsid w:val="000B1FDC"/>
    <w:rsid w:val="000C29CD"/>
    <w:rsid w:val="000D43E8"/>
    <w:rsid w:val="000D7088"/>
    <w:rsid w:val="000E018F"/>
    <w:rsid w:val="000E61C5"/>
    <w:rsid w:val="000F59C8"/>
    <w:rsid w:val="000F6153"/>
    <w:rsid w:val="00116A2B"/>
    <w:rsid w:val="00117CBC"/>
    <w:rsid w:val="00164E6A"/>
    <w:rsid w:val="00181446"/>
    <w:rsid w:val="00184F8D"/>
    <w:rsid w:val="001D2ADE"/>
    <w:rsid w:val="001D38D1"/>
    <w:rsid w:val="001D6D65"/>
    <w:rsid w:val="001D7C6E"/>
    <w:rsid w:val="001E64DE"/>
    <w:rsid w:val="001F2B5A"/>
    <w:rsid w:val="001F55D8"/>
    <w:rsid w:val="0023102E"/>
    <w:rsid w:val="002348D5"/>
    <w:rsid w:val="00236BC1"/>
    <w:rsid w:val="002517DD"/>
    <w:rsid w:val="00297B68"/>
    <w:rsid w:val="002A2397"/>
    <w:rsid w:val="002A2DED"/>
    <w:rsid w:val="002A3120"/>
    <w:rsid w:val="002A5B1B"/>
    <w:rsid w:val="002B3E2C"/>
    <w:rsid w:val="002C046C"/>
    <w:rsid w:val="002C6291"/>
    <w:rsid w:val="002E1800"/>
    <w:rsid w:val="0030082A"/>
    <w:rsid w:val="00316F2D"/>
    <w:rsid w:val="00324343"/>
    <w:rsid w:val="00354477"/>
    <w:rsid w:val="00365213"/>
    <w:rsid w:val="0039172E"/>
    <w:rsid w:val="003A60B7"/>
    <w:rsid w:val="003A78E1"/>
    <w:rsid w:val="003D3214"/>
    <w:rsid w:val="003D7BB5"/>
    <w:rsid w:val="003E491C"/>
    <w:rsid w:val="003F18A3"/>
    <w:rsid w:val="00400E7A"/>
    <w:rsid w:val="00410004"/>
    <w:rsid w:val="004152EF"/>
    <w:rsid w:val="00427DA5"/>
    <w:rsid w:val="00433562"/>
    <w:rsid w:val="004338AC"/>
    <w:rsid w:val="00441C5A"/>
    <w:rsid w:val="00442061"/>
    <w:rsid w:val="00443B87"/>
    <w:rsid w:val="00445E9E"/>
    <w:rsid w:val="004849F8"/>
    <w:rsid w:val="00487BDD"/>
    <w:rsid w:val="004915EE"/>
    <w:rsid w:val="00493AE8"/>
    <w:rsid w:val="004A3DCD"/>
    <w:rsid w:val="004A4727"/>
    <w:rsid w:val="004B2A29"/>
    <w:rsid w:val="004D3D5B"/>
    <w:rsid w:val="004E4920"/>
    <w:rsid w:val="004E64F4"/>
    <w:rsid w:val="004F01DE"/>
    <w:rsid w:val="00507F26"/>
    <w:rsid w:val="00513287"/>
    <w:rsid w:val="00513EDB"/>
    <w:rsid w:val="00515A7A"/>
    <w:rsid w:val="00590BCE"/>
    <w:rsid w:val="005978CF"/>
    <w:rsid w:val="005B3EB5"/>
    <w:rsid w:val="005B5209"/>
    <w:rsid w:val="005C0268"/>
    <w:rsid w:val="005C3BD8"/>
    <w:rsid w:val="005C7414"/>
    <w:rsid w:val="00614B97"/>
    <w:rsid w:val="00630879"/>
    <w:rsid w:val="0064427E"/>
    <w:rsid w:val="00645A67"/>
    <w:rsid w:val="00645AFF"/>
    <w:rsid w:val="00645BB0"/>
    <w:rsid w:val="006555B4"/>
    <w:rsid w:val="006579E2"/>
    <w:rsid w:val="00660EB5"/>
    <w:rsid w:val="0068424B"/>
    <w:rsid w:val="00690976"/>
    <w:rsid w:val="006B0467"/>
    <w:rsid w:val="006C7F4D"/>
    <w:rsid w:val="006D3A68"/>
    <w:rsid w:val="006D4C45"/>
    <w:rsid w:val="006E5486"/>
    <w:rsid w:val="00706B77"/>
    <w:rsid w:val="00715486"/>
    <w:rsid w:val="0074608C"/>
    <w:rsid w:val="00750D0E"/>
    <w:rsid w:val="00760311"/>
    <w:rsid w:val="00776135"/>
    <w:rsid w:val="007914F3"/>
    <w:rsid w:val="007A2680"/>
    <w:rsid w:val="007C1925"/>
    <w:rsid w:val="007E3617"/>
    <w:rsid w:val="008153F6"/>
    <w:rsid w:val="00854459"/>
    <w:rsid w:val="00855DDE"/>
    <w:rsid w:val="00886D0A"/>
    <w:rsid w:val="008A0697"/>
    <w:rsid w:val="008A5019"/>
    <w:rsid w:val="008B12B7"/>
    <w:rsid w:val="008B47E6"/>
    <w:rsid w:val="008B496D"/>
    <w:rsid w:val="008E4487"/>
    <w:rsid w:val="008F10DA"/>
    <w:rsid w:val="008F46EF"/>
    <w:rsid w:val="008F474D"/>
    <w:rsid w:val="0090085B"/>
    <w:rsid w:val="00911CFA"/>
    <w:rsid w:val="00917AC7"/>
    <w:rsid w:val="00936B0A"/>
    <w:rsid w:val="009422DC"/>
    <w:rsid w:val="00955A7C"/>
    <w:rsid w:val="00956740"/>
    <w:rsid w:val="009656B0"/>
    <w:rsid w:val="00971B5D"/>
    <w:rsid w:val="00981817"/>
    <w:rsid w:val="0098727A"/>
    <w:rsid w:val="009900D3"/>
    <w:rsid w:val="009903D6"/>
    <w:rsid w:val="009A1A2C"/>
    <w:rsid w:val="009A62DA"/>
    <w:rsid w:val="009D5CD1"/>
    <w:rsid w:val="00A04210"/>
    <w:rsid w:val="00A23156"/>
    <w:rsid w:val="00A3560B"/>
    <w:rsid w:val="00A449FC"/>
    <w:rsid w:val="00A5275B"/>
    <w:rsid w:val="00A53639"/>
    <w:rsid w:val="00A62084"/>
    <w:rsid w:val="00A86BDB"/>
    <w:rsid w:val="00AA005A"/>
    <w:rsid w:val="00AC2669"/>
    <w:rsid w:val="00AD024B"/>
    <w:rsid w:val="00AD1949"/>
    <w:rsid w:val="00AD6678"/>
    <w:rsid w:val="00AE5427"/>
    <w:rsid w:val="00B37682"/>
    <w:rsid w:val="00B4154E"/>
    <w:rsid w:val="00B43854"/>
    <w:rsid w:val="00B4435B"/>
    <w:rsid w:val="00B55F92"/>
    <w:rsid w:val="00B61353"/>
    <w:rsid w:val="00B626B8"/>
    <w:rsid w:val="00B8597B"/>
    <w:rsid w:val="00BB210D"/>
    <w:rsid w:val="00BE09B2"/>
    <w:rsid w:val="00BE19AC"/>
    <w:rsid w:val="00C03B64"/>
    <w:rsid w:val="00C42867"/>
    <w:rsid w:val="00C43F2A"/>
    <w:rsid w:val="00C50113"/>
    <w:rsid w:val="00C504CF"/>
    <w:rsid w:val="00C51A38"/>
    <w:rsid w:val="00C86DC5"/>
    <w:rsid w:val="00CC5DDC"/>
    <w:rsid w:val="00CD0321"/>
    <w:rsid w:val="00D12B09"/>
    <w:rsid w:val="00D33405"/>
    <w:rsid w:val="00DB07E1"/>
    <w:rsid w:val="00DC5754"/>
    <w:rsid w:val="00DE1084"/>
    <w:rsid w:val="00DE2E87"/>
    <w:rsid w:val="00DE7C69"/>
    <w:rsid w:val="00E070D9"/>
    <w:rsid w:val="00E10AD5"/>
    <w:rsid w:val="00E16545"/>
    <w:rsid w:val="00E17B15"/>
    <w:rsid w:val="00E248B6"/>
    <w:rsid w:val="00E524DE"/>
    <w:rsid w:val="00E52C38"/>
    <w:rsid w:val="00E5706F"/>
    <w:rsid w:val="00E625F7"/>
    <w:rsid w:val="00E871AA"/>
    <w:rsid w:val="00E9293B"/>
    <w:rsid w:val="00E96A9E"/>
    <w:rsid w:val="00ED46FA"/>
    <w:rsid w:val="00EE0E7E"/>
    <w:rsid w:val="00F447D9"/>
    <w:rsid w:val="00F61264"/>
    <w:rsid w:val="00F83970"/>
    <w:rsid w:val="00F83E69"/>
    <w:rsid w:val="00F857DC"/>
    <w:rsid w:val="00F92B80"/>
    <w:rsid w:val="00F9411E"/>
    <w:rsid w:val="00FB3AD5"/>
    <w:rsid w:val="00FB72D4"/>
    <w:rsid w:val="00FC393B"/>
    <w:rsid w:val="00FC6E5C"/>
    <w:rsid w:val="00FE1369"/>
    <w:rsid w:val="00FE4BC3"/>
    <w:rsid w:val="00FE7810"/>
    <w:rsid w:val="00FF2B8E"/>
    <w:rsid w:val="00FF4742"/>
    <w:rsid w:val="00FF71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68BE6"/>
  <w15:chartTrackingRefBased/>
  <w15:docId w15:val="{A61868D8-E4CF-49CF-BF8F-C05BE794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C192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7C1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FF2B8E"/>
    <w:rPr>
      <w:rFonts w:ascii="Tahoma" w:hAnsi="Tahoma" w:cs="Tahoma"/>
      <w:sz w:val="16"/>
      <w:szCs w:val="16"/>
    </w:rPr>
  </w:style>
  <w:style w:type="paragraph" w:styleId="Dokumentstruktur">
    <w:name w:val="Document Map"/>
    <w:basedOn w:val="Standard"/>
    <w:semiHidden/>
    <w:rsid w:val="000A5502"/>
    <w:pPr>
      <w:shd w:val="clear" w:color="auto" w:fill="000080"/>
    </w:pPr>
    <w:rPr>
      <w:rFonts w:ascii="Tahoma" w:hAnsi="Tahoma" w:cs="Tahoma"/>
      <w:sz w:val="20"/>
      <w:szCs w:val="20"/>
    </w:rPr>
  </w:style>
  <w:style w:type="paragraph" w:styleId="Kopfzeile">
    <w:name w:val="header"/>
    <w:basedOn w:val="Standard"/>
    <w:link w:val="KopfzeileZchn"/>
    <w:rsid w:val="009A62DA"/>
    <w:pPr>
      <w:tabs>
        <w:tab w:val="center" w:pos="4536"/>
        <w:tab w:val="right" w:pos="9072"/>
      </w:tabs>
    </w:pPr>
  </w:style>
  <w:style w:type="character" w:customStyle="1" w:styleId="KopfzeileZchn">
    <w:name w:val="Kopfzeile Zchn"/>
    <w:basedOn w:val="Absatz-Standardschriftart"/>
    <w:link w:val="Kopfzeile"/>
    <w:rsid w:val="009A62DA"/>
    <w:rPr>
      <w:sz w:val="24"/>
      <w:szCs w:val="24"/>
    </w:rPr>
  </w:style>
  <w:style w:type="paragraph" w:styleId="Fuzeile">
    <w:name w:val="footer"/>
    <w:basedOn w:val="Standard"/>
    <w:link w:val="FuzeileZchn"/>
    <w:rsid w:val="009A62DA"/>
    <w:pPr>
      <w:tabs>
        <w:tab w:val="center" w:pos="4536"/>
        <w:tab w:val="right" w:pos="9072"/>
      </w:tabs>
    </w:pPr>
  </w:style>
  <w:style w:type="character" w:customStyle="1" w:styleId="FuzeileZchn">
    <w:name w:val="Fußzeile Zchn"/>
    <w:basedOn w:val="Absatz-Standardschriftart"/>
    <w:link w:val="Fuzeile"/>
    <w:rsid w:val="009A62DA"/>
    <w:rPr>
      <w:sz w:val="24"/>
      <w:szCs w:val="24"/>
    </w:rPr>
  </w:style>
  <w:style w:type="paragraph" w:styleId="Listenabsatz">
    <w:name w:val="List Paragraph"/>
    <w:basedOn w:val="Standard"/>
    <w:uiPriority w:val="34"/>
    <w:qFormat/>
    <w:rsid w:val="00400E7A"/>
    <w:pPr>
      <w:ind w:left="720"/>
      <w:contextualSpacing/>
    </w:pPr>
  </w:style>
  <w:style w:type="paragraph" w:styleId="StandardWeb">
    <w:name w:val="Normal (Web)"/>
    <w:basedOn w:val="Standard"/>
    <w:uiPriority w:val="99"/>
    <w:unhideWhenUsed/>
    <w:rsid w:val="00B443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646362">
      <w:bodyDiv w:val="1"/>
      <w:marLeft w:val="0"/>
      <w:marRight w:val="0"/>
      <w:marTop w:val="0"/>
      <w:marBottom w:val="0"/>
      <w:divBdr>
        <w:top w:val="none" w:sz="0" w:space="0" w:color="auto"/>
        <w:left w:val="none" w:sz="0" w:space="0" w:color="auto"/>
        <w:bottom w:val="none" w:sz="0" w:space="0" w:color="auto"/>
        <w:right w:val="none" w:sz="0" w:space="0" w:color="auto"/>
      </w:divBdr>
    </w:div>
    <w:div w:id="114072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5608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Patienteninformation bei wahlärztlichen Leistungen</vt:lpstr>
    </vt:vector>
  </TitlesOfParts>
  <Company>DKVG</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Patienteninformation bei wahlärztlichen Leistungen</dc:title>
  <dc:subject/>
  <dc:creator>Borgböhmer</dc:creator>
  <cp:keywords/>
  <dc:description/>
  <cp:lastModifiedBy>Gube. Andreas</cp:lastModifiedBy>
  <cp:revision>4</cp:revision>
  <cp:lastPrinted>2023-10-13T10:51:00Z</cp:lastPrinted>
  <dcterms:created xsi:type="dcterms:W3CDTF">2025-10-24T11:40:00Z</dcterms:created>
  <dcterms:modified xsi:type="dcterms:W3CDTF">2025-12-29T13:10:00Z</dcterms:modified>
</cp:coreProperties>
</file>